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1C2A0" w14:textId="77777777" w:rsidR="00012387" w:rsidRDefault="00012387" w:rsidP="00012387">
      <w:bookmarkStart w:id="0" w:name="_Hlk187680224"/>
      <w:r>
        <w:rPr>
          <w:rFonts w:hint="eastAsia"/>
        </w:rPr>
        <w:t>安全在庫の手引き</w:t>
      </w:r>
      <w:r w:rsidRPr="00AE0EB7">
        <w:t>Guide to safety stocks</w:t>
      </w:r>
      <w:r>
        <w:br/>
      </w:r>
      <w:hyperlink r:id="rId7" w:history="1">
        <w:r w:rsidRPr="00287FE8">
          <w:rPr>
            <w:rStyle w:val="a5"/>
          </w:rPr>
          <w:t>https://www.canada.ca/en/health-canada/services/drugs-health-products/drug-products/drug-shortages/regulations-guidance/guide-safety-stocks.html</w:t>
        </w:r>
      </w:hyperlink>
    </w:p>
    <w:p w14:paraId="68FAC236" w14:textId="77777777" w:rsidR="00AE0EB7" w:rsidRDefault="00AE0EB7" w:rsidP="00AE0EB7"/>
    <w:p w14:paraId="2245673A" w14:textId="77777777" w:rsidR="00A7068E" w:rsidRPr="00A7068E" w:rsidRDefault="00A7068E" w:rsidP="00A7068E">
      <w:pPr>
        <w:rPr>
          <w:b/>
          <w:bCs/>
          <w:sz w:val="24"/>
          <w:szCs w:val="28"/>
        </w:rPr>
      </w:pPr>
      <w:r w:rsidRPr="00A7068E">
        <w:rPr>
          <w:b/>
          <w:bCs/>
          <w:sz w:val="24"/>
          <w:szCs w:val="28"/>
        </w:rPr>
        <w:t>概要</w:t>
      </w:r>
    </w:p>
    <w:p w14:paraId="5B95D34B" w14:textId="77777777" w:rsidR="00A7068E" w:rsidRPr="00A7068E" w:rsidRDefault="00A7068E" w:rsidP="00A7068E">
      <w:pPr>
        <w:rPr>
          <w:b/>
          <w:bCs/>
        </w:rPr>
      </w:pPr>
      <w:r w:rsidRPr="00A7068E">
        <w:rPr>
          <w:b/>
          <w:bCs/>
        </w:rPr>
        <w:t>はじめに</w:t>
      </w:r>
    </w:p>
    <w:p w14:paraId="1DD7B911" w14:textId="5F962801" w:rsidR="00A7068E" w:rsidRPr="00A7068E" w:rsidRDefault="00A7068E" w:rsidP="00A7068E">
      <w:r w:rsidRPr="00A7068E">
        <w:t>カナダ保健省は、カナダ国民の健康維持・増進を支援する責任を負っている。 これは、医薬品不足によって引き起こされる公衆衛生への危害に対処し、それを軽減するための私たちのコミットメントと行動を通じて行われてい</w:t>
      </w:r>
      <w:r>
        <w:rPr>
          <w:rFonts w:hint="eastAsia"/>
        </w:rPr>
        <w:t>る</w:t>
      </w:r>
      <w:r w:rsidRPr="00A7068E">
        <w:t>。 私たちの目標は、カナダの人々が必要なときに必要な医薬品を入手できるようにすることで</w:t>
      </w:r>
      <w:r>
        <w:rPr>
          <w:rFonts w:hint="eastAsia"/>
        </w:rPr>
        <w:t>ある</w:t>
      </w:r>
      <w:r w:rsidRPr="00A7068E">
        <w:t>。</w:t>
      </w:r>
    </w:p>
    <w:p w14:paraId="77E38C53" w14:textId="3B836489" w:rsidR="00A7068E" w:rsidRPr="00A7068E" w:rsidRDefault="00A7068E" w:rsidP="00A7068E">
      <w:r>
        <w:rPr>
          <w:rFonts w:hint="eastAsia"/>
        </w:rPr>
        <w:t>製薬企業</w:t>
      </w:r>
      <w:r w:rsidRPr="00A7068E">
        <w:t>（</w:t>
      </w:r>
      <w:r w:rsidR="00012387" w:rsidRPr="00012387">
        <w:t>Market authorization holders </w:t>
      </w:r>
      <w:r w:rsidR="00012387">
        <w:rPr>
          <w:rFonts w:hint="eastAsia"/>
        </w:rPr>
        <w:t>：</w:t>
      </w:r>
      <w:r w:rsidRPr="00A7068E">
        <w:t>MAH市場承認保持者）は、不足が人の健康に重大かつ差し迫った危険をもたらす可能性のある一部の医薬品について、カナダ国内に安全在庫を保有することが義務付けられてい</w:t>
      </w:r>
      <w:r w:rsidR="00012387">
        <w:rPr>
          <w:rFonts w:hint="eastAsia"/>
        </w:rPr>
        <w:t>る</w:t>
      </w:r>
      <w:r w:rsidRPr="00A7068E">
        <w:t>。 この要件は、</w:t>
      </w:r>
      <w:r w:rsidRPr="00A7068E">
        <w:fldChar w:fldCharType="begin"/>
      </w:r>
      <w:r w:rsidRPr="00A7068E">
        <w:instrText>HYPERLINK "https://laws-lois.justice.gc.ca/eng/regulations/C.R.C.%2C_c._870/page-1.html"</w:instrText>
      </w:r>
      <w:r w:rsidRPr="00A7068E">
        <w:fldChar w:fldCharType="separate"/>
      </w:r>
      <w:r w:rsidRPr="00A7068E">
        <w:rPr>
          <w:rStyle w:val="a5"/>
        </w:rPr>
        <w:t>食品医薬品規則</w:t>
      </w:r>
      <w:r w:rsidRPr="00A7068E">
        <w:fldChar w:fldCharType="end"/>
      </w:r>
      <w:r w:rsidRPr="00A7068E">
        <w:t>（</w:t>
      </w:r>
      <w:r w:rsidR="00012387" w:rsidRPr="00012387">
        <w:t>Food and Drug Regulations</w:t>
      </w:r>
      <w:r w:rsidR="00012387">
        <w:rPr>
          <w:rFonts w:hint="eastAsia"/>
        </w:rPr>
        <w:t>：</w:t>
      </w:r>
      <w:r w:rsidRPr="00A7068E">
        <w:t>FDR）のC.01.014.82項、C.01.014.83項、C.01.014.84項、C.01.014.85項（安全在庫規定</w:t>
      </w:r>
      <w:r w:rsidR="00012387" w:rsidRPr="00012387">
        <w:t>Safety Stock Provisions</w:t>
      </w:r>
      <w:r w:rsidRPr="00A7068E">
        <w:t>）に定められて</w:t>
      </w:r>
      <w:r w:rsidR="00012387">
        <w:rPr>
          <w:rFonts w:hint="eastAsia"/>
        </w:rPr>
        <w:t>いる</w:t>
      </w:r>
      <w:r w:rsidRPr="00A7068E">
        <w:t>。 選択された医薬品は、C.01.014.84項の医薬品リスト（安全在庫リスト</w:t>
      </w:r>
      <w:r w:rsidR="00012387" w:rsidRPr="00012387">
        <w:t>Safety Stock List</w:t>
      </w:r>
      <w:r w:rsidRPr="00A7068E">
        <w:t>）に含まれて</w:t>
      </w:r>
      <w:r w:rsidR="00012387">
        <w:rPr>
          <w:rFonts w:hint="eastAsia"/>
        </w:rPr>
        <w:t>いる</w:t>
      </w:r>
      <w:r w:rsidRPr="00A7068E">
        <w:t>。</w:t>
      </w:r>
    </w:p>
    <w:p w14:paraId="6F8B5378" w14:textId="419F5531" w:rsidR="00A7068E" w:rsidRDefault="00A7068E" w:rsidP="00A7068E">
      <w:hyperlink r:id="rId8" w:history="1">
        <w:r w:rsidRPr="00A7068E">
          <w:rPr>
            <w:rStyle w:val="a5"/>
          </w:rPr>
          <w:t>医薬品不足と、それに対処するための様々な利害関係者の役割</w:t>
        </w:r>
      </w:hyperlink>
      <w:r w:rsidRPr="00A7068E">
        <w:t>については、こちらを</w:t>
      </w:r>
      <w:r w:rsidR="00012387">
        <w:rPr>
          <w:rFonts w:hint="eastAsia"/>
        </w:rPr>
        <w:t>参照のこと</w:t>
      </w:r>
      <w:r w:rsidRPr="00A7068E">
        <w:t>。</w:t>
      </w:r>
    </w:p>
    <w:p w14:paraId="4F0E2498" w14:textId="77777777" w:rsidR="00A7068E" w:rsidRPr="00A7068E" w:rsidRDefault="00A7068E" w:rsidP="00A7068E">
      <w:pPr>
        <w:rPr>
          <w:b/>
          <w:bCs/>
        </w:rPr>
      </w:pPr>
      <w:r w:rsidRPr="00A7068E">
        <w:rPr>
          <w:b/>
          <w:bCs/>
        </w:rPr>
        <w:t>目的</w:t>
      </w:r>
    </w:p>
    <w:p w14:paraId="6C9EBAC0" w14:textId="77777777" w:rsidR="00A7068E" w:rsidRPr="00A7068E" w:rsidRDefault="00A7068E" w:rsidP="00A7068E">
      <w:r w:rsidRPr="00A7068E">
        <w:t>このガイダンス・ドキュメントは、MAHが安全在庫規定を遵守する方法について理解する助けとなるもので、その概要は以下の通りである：</w:t>
      </w:r>
    </w:p>
    <w:p w14:paraId="206F484B" w14:textId="77777777" w:rsidR="00A7068E" w:rsidRPr="00A7068E" w:rsidRDefault="00A7068E" w:rsidP="00A7068E">
      <w:pPr>
        <w:numPr>
          <w:ilvl w:val="0"/>
          <w:numId w:val="3"/>
        </w:numPr>
      </w:pPr>
      <w:r w:rsidRPr="00A7068E">
        <w:t>安全在庫の意味</w:t>
      </w:r>
    </w:p>
    <w:p w14:paraId="6835387D" w14:textId="77777777" w:rsidR="00A7068E" w:rsidRPr="00A7068E" w:rsidRDefault="00A7068E" w:rsidP="00A7068E">
      <w:pPr>
        <w:numPr>
          <w:ilvl w:val="0"/>
          <w:numId w:val="3"/>
        </w:numPr>
      </w:pPr>
      <w:r w:rsidRPr="00A7068E">
        <w:t>MAHに安全在庫の保有が義務付けられている状況</w:t>
      </w:r>
    </w:p>
    <w:p w14:paraId="5CC50C0B" w14:textId="77777777" w:rsidR="00A7068E" w:rsidRPr="00A7068E" w:rsidRDefault="00A7068E" w:rsidP="00A7068E">
      <w:pPr>
        <w:numPr>
          <w:ilvl w:val="0"/>
          <w:numId w:val="3"/>
        </w:numPr>
      </w:pPr>
      <w:r w:rsidRPr="00A7068E">
        <w:t>MAHがカナダで保有することが義務付けられている安全在庫の量</w:t>
      </w:r>
    </w:p>
    <w:p w14:paraId="0E6BECC6" w14:textId="77777777" w:rsidR="00A7068E" w:rsidRDefault="00A7068E" w:rsidP="00A7068E">
      <w:pPr>
        <w:numPr>
          <w:ilvl w:val="0"/>
          <w:numId w:val="3"/>
        </w:numPr>
      </w:pPr>
      <w:r w:rsidRPr="00A7068E">
        <w:t>安全在庫に関するMAHの記録保存要件</w:t>
      </w:r>
    </w:p>
    <w:p w14:paraId="66068C57" w14:textId="77777777" w:rsidR="00BF340B" w:rsidRPr="00A7068E" w:rsidRDefault="00BF340B" w:rsidP="00BF340B">
      <w:pPr>
        <w:ind w:left="720"/>
        <w:rPr>
          <w:rFonts w:hint="eastAsia"/>
        </w:rPr>
      </w:pPr>
    </w:p>
    <w:p w14:paraId="5D67152F" w14:textId="77777777" w:rsidR="00A7068E" w:rsidRPr="00A7068E" w:rsidRDefault="00A7068E" w:rsidP="00A7068E">
      <w:pPr>
        <w:rPr>
          <w:b/>
          <w:bCs/>
        </w:rPr>
      </w:pPr>
      <w:r w:rsidRPr="00A7068E">
        <w:rPr>
          <w:b/>
          <w:bCs/>
        </w:rPr>
        <w:t>適用範囲</w:t>
      </w:r>
    </w:p>
    <w:p w14:paraId="56A4A130" w14:textId="159C9EA6" w:rsidR="00A7068E" w:rsidRPr="00A7068E" w:rsidRDefault="00A7068E" w:rsidP="00A7068E">
      <w:r w:rsidRPr="00A7068E">
        <w:t>安全在庫の要件は、医薬品識別番号（</w:t>
      </w:r>
      <w:r w:rsidR="00012387" w:rsidRPr="00012387">
        <w:t>drug identification number</w:t>
      </w:r>
      <w:r w:rsidR="00012387">
        <w:rPr>
          <w:rFonts w:hint="eastAsia"/>
        </w:rPr>
        <w:t>：</w:t>
      </w:r>
      <w:r w:rsidRPr="00A7068E">
        <w:t>DIN）で識別され、安全在庫リストに掲載されている医薬品に適用され</w:t>
      </w:r>
      <w:r w:rsidR="00012387">
        <w:rPr>
          <w:rFonts w:hint="eastAsia"/>
        </w:rPr>
        <w:t>る</w:t>
      </w:r>
      <w:r w:rsidRPr="00A7068E">
        <w:t>。</w:t>
      </w:r>
    </w:p>
    <w:p w14:paraId="04C8849C" w14:textId="086EE63E" w:rsidR="00A7068E" w:rsidRPr="00A7068E" w:rsidRDefault="00A7068E" w:rsidP="00A7068E">
      <w:r w:rsidRPr="00A7068E">
        <w:t>カナダ保健省は、医薬品不足が人の健康に深刻かつ差し迫った危害をもたらす可能性のある医薬品を対象に、このリストを作成した。</w:t>
      </w:r>
    </w:p>
    <w:p w14:paraId="1B9403CE" w14:textId="1994BFFD" w:rsidR="00A7068E" w:rsidRPr="00A7068E" w:rsidRDefault="00A7068E" w:rsidP="00A7068E">
      <w:r w:rsidRPr="00A7068E">
        <w:t>カナダ保健省は、医薬品不足による人の健康への深刻かつ差し迫った危害のリスクとは、医薬品不足による治療の中断、欠乏または遅延が、人の健康に差し迫った深刻な危害をもたらす可能性と解釈してい</w:t>
      </w:r>
      <w:r w:rsidR="00012387">
        <w:rPr>
          <w:rFonts w:hint="eastAsia"/>
        </w:rPr>
        <w:t>る</w:t>
      </w:r>
      <w:r w:rsidRPr="00A7068E">
        <w:t>。</w:t>
      </w:r>
    </w:p>
    <w:p w14:paraId="1862B2FB" w14:textId="77777777" w:rsidR="00A7068E" w:rsidRPr="00A7068E" w:rsidRDefault="00A7068E" w:rsidP="00A7068E">
      <w:r w:rsidRPr="00A7068E">
        <w:t>不足による治療の中断、欠如、遅延による危害の深刻さを決定する要素には、以下のような</w:t>
      </w:r>
      <w:r w:rsidRPr="00A7068E">
        <w:lastRenderedPageBreak/>
        <w:t>危害が含まれるが、これらに限定されるものではない：</w:t>
      </w:r>
    </w:p>
    <w:p w14:paraId="1D79030E" w14:textId="77777777" w:rsidR="00A7068E" w:rsidRPr="00A7068E" w:rsidRDefault="00A7068E" w:rsidP="00A7068E">
      <w:pPr>
        <w:numPr>
          <w:ilvl w:val="0"/>
          <w:numId w:val="4"/>
        </w:numPr>
      </w:pPr>
      <w:r w:rsidRPr="00A7068E">
        <w:t>死に至る</w:t>
      </w:r>
    </w:p>
    <w:p w14:paraId="4676E895" w14:textId="77777777" w:rsidR="00A7068E" w:rsidRPr="00A7068E" w:rsidRDefault="00A7068E" w:rsidP="00A7068E">
      <w:pPr>
        <w:numPr>
          <w:ilvl w:val="0"/>
          <w:numId w:val="4"/>
        </w:numPr>
      </w:pPr>
      <w:r w:rsidRPr="00A7068E">
        <w:t>生命を脅かす</w:t>
      </w:r>
    </w:p>
    <w:p w14:paraId="5AC57451" w14:textId="77777777" w:rsidR="00A7068E" w:rsidRPr="00A7068E" w:rsidRDefault="00A7068E" w:rsidP="00A7068E">
      <w:pPr>
        <w:numPr>
          <w:ilvl w:val="0"/>
          <w:numId w:val="4"/>
        </w:numPr>
      </w:pPr>
      <w:r w:rsidRPr="00A7068E">
        <w:t>入院が必要、または入院が長期化する。</w:t>
      </w:r>
    </w:p>
    <w:p w14:paraId="640C3F9C" w14:textId="77777777" w:rsidR="00A7068E" w:rsidRPr="00A7068E" w:rsidRDefault="00A7068E" w:rsidP="00A7068E">
      <w:pPr>
        <w:numPr>
          <w:ilvl w:val="0"/>
          <w:numId w:val="4"/>
        </w:numPr>
      </w:pPr>
      <w:r w:rsidRPr="00A7068E">
        <w:t>持続的または重大な身体障害／能力障害をもたらす。</w:t>
      </w:r>
    </w:p>
    <w:p w14:paraId="44F12AFF" w14:textId="77777777" w:rsidR="00A7068E" w:rsidRPr="00A7068E" w:rsidRDefault="00A7068E" w:rsidP="00A7068E">
      <w:r w:rsidRPr="00A7068E">
        <w:t>危害がいつ発見されたかに関係なく、不足による治療の中断、欠如、遅延によって危害が即座に引き起こされる場合、切迫した条件を満たす。 差し迫った危険性を判断するために使用される要素には、以下のものが含まれるが、これらに限定されるものではない：</w:t>
      </w:r>
    </w:p>
    <w:p w14:paraId="730B64FB" w14:textId="77777777" w:rsidR="00A7068E" w:rsidRPr="00A7068E" w:rsidRDefault="00A7068E" w:rsidP="00A7068E">
      <w:pPr>
        <w:numPr>
          <w:ilvl w:val="0"/>
          <w:numId w:val="5"/>
        </w:numPr>
      </w:pPr>
      <w:r w:rsidRPr="00A7068E">
        <w:t>薬物が、危害を引き起こす可能性のある状態（例えば、中毒や過剰摂取、アナフィラキシーの治療）を治療するために、即時または緊急に使用されることが意図されている。</w:t>
      </w:r>
    </w:p>
    <w:p w14:paraId="172DE40D" w14:textId="77777777" w:rsidR="00A7068E" w:rsidRDefault="00A7068E" w:rsidP="00A7068E">
      <w:pPr>
        <w:numPr>
          <w:ilvl w:val="0"/>
          <w:numId w:val="5"/>
        </w:numPr>
      </w:pPr>
      <w:r w:rsidRPr="00A7068E">
        <w:t>治療が予期せず中断または中止された場合、患者に危害が及ぶ可能性がある。</w:t>
      </w:r>
    </w:p>
    <w:p w14:paraId="3357C051" w14:textId="77777777" w:rsidR="00BF340B" w:rsidRPr="00A7068E" w:rsidRDefault="00BF340B" w:rsidP="00BF340B">
      <w:pPr>
        <w:ind w:left="720"/>
        <w:rPr>
          <w:rFonts w:hint="eastAsia"/>
        </w:rPr>
      </w:pPr>
    </w:p>
    <w:p w14:paraId="5734E84A" w14:textId="77777777" w:rsidR="00A7068E" w:rsidRPr="00BF340B" w:rsidRDefault="00A7068E" w:rsidP="00A7068E">
      <w:pPr>
        <w:rPr>
          <w:b/>
          <w:bCs/>
          <w:sz w:val="24"/>
          <w:szCs w:val="28"/>
        </w:rPr>
      </w:pPr>
      <w:r w:rsidRPr="00BF340B">
        <w:rPr>
          <w:b/>
          <w:bCs/>
          <w:sz w:val="24"/>
          <w:szCs w:val="28"/>
        </w:rPr>
        <w:t>規制対象当事者とカナダ保健省の責任</w:t>
      </w:r>
    </w:p>
    <w:p w14:paraId="23C05367" w14:textId="77777777" w:rsidR="00A7068E" w:rsidRPr="00A7068E" w:rsidRDefault="00A7068E" w:rsidP="00A7068E">
      <w:pPr>
        <w:rPr>
          <w:b/>
          <w:bCs/>
        </w:rPr>
      </w:pPr>
      <w:r w:rsidRPr="00A7068E">
        <w:rPr>
          <w:b/>
          <w:bCs/>
        </w:rPr>
        <w:t>MAHの責任</w:t>
      </w:r>
    </w:p>
    <w:p w14:paraId="244C4BD8" w14:textId="77777777" w:rsidR="00A7068E" w:rsidRPr="00A7068E" w:rsidRDefault="00A7068E" w:rsidP="00A7068E">
      <w:r w:rsidRPr="00A7068E">
        <w:t>MAHには以下の責任があります：</w:t>
      </w:r>
    </w:p>
    <w:p w14:paraId="1E066481" w14:textId="0FE0F9E4" w:rsidR="00A7068E" w:rsidRPr="00A7068E" w:rsidRDefault="00A7068E" w:rsidP="00A7068E">
      <w:pPr>
        <w:numPr>
          <w:ilvl w:val="0"/>
          <w:numId w:val="7"/>
        </w:numPr>
      </w:pPr>
      <w:r w:rsidRPr="00A7068E">
        <w:t>カナダ保健省のウェブサイトにある安全在庫リストを確認し、自社が販売する医薬品に安全在庫が必要かどうかを判断すること</w:t>
      </w:r>
    </w:p>
    <w:p w14:paraId="764A63D4" w14:textId="77777777" w:rsidR="00A7068E" w:rsidRPr="00A7068E" w:rsidRDefault="00A7068E" w:rsidP="00A7068E">
      <w:pPr>
        <w:numPr>
          <w:ilvl w:val="0"/>
          <w:numId w:val="7"/>
        </w:numPr>
      </w:pPr>
      <w:r w:rsidRPr="00A7068E">
        <w:t>カナダ国内の医薬品について、義務付けられている量の安全在庫が維持されていることを確認すること</w:t>
      </w:r>
    </w:p>
    <w:p w14:paraId="1EE4BA59" w14:textId="77777777" w:rsidR="00A7068E" w:rsidRDefault="00A7068E" w:rsidP="00A7068E">
      <w:pPr>
        <w:numPr>
          <w:ilvl w:val="0"/>
          <w:numId w:val="7"/>
        </w:numPr>
      </w:pPr>
      <w:r w:rsidRPr="00A7068E">
        <w:t>安全在庫の量、場所、保管状況に関する記録の管理</w:t>
      </w:r>
    </w:p>
    <w:p w14:paraId="7D4B3A51" w14:textId="77777777" w:rsidR="00BF340B" w:rsidRPr="00A7068E" w:rsidRDefault="00BF340B" w:rsidP="00BF340B">
      <w:pPr>
        <w:ind w:left="720"/>
        <w:rPr>
          <w:rFonts w:hint="eastAsia"/>
        </w:rPr>
      </w:pPr>
    </w:p>
    <w:p w14:paraId="47CDA566" w14:textId="77777777" w:rsidR="00A7068E" w:rsidRPr="00A7068E" w:rsidRDefault="00A7068E" w:rsidP="00A7068E">
      <w:pPr>
        <w:rPr>
          <w:b/>
          <w:bCs/>
        </w:rPr>
      </w:pPr>
      <w:r w:rsidRPr="00A7068E">
        <w:rPr>
          <w:b/>
          <w:bCs/>
        </w:rPr>
        <w:t>カナダ保健省の責任</w:t>
      </w:r>
    </w:p>
    <w:p w14:paraId="374F1551" w14:textId="77777777" w:rsidR="00A7068E" w:rsidRPr="00A7068E" w:rsidRDefault="00A7068E" w:rsidP="00A7068E">
      <w:r w:rsidRPr="00A7068E">
        <w:t>カナダ保健省は以下の責任を負う：</w:t>
      </w:r>
    </w:p>
    <w:p w14:paraId="6FF1A767" w14:textId="77777777" w:rsidR="00A7068E" w:rsidRPr="00A7068E" w:rsidRDefault="00A7068E" w:rsidP="00A7068E">
      <w:pPr>
        <w:numPr>
          <w:ilvl w:val="0"/>
          <w:numId w:val="8"/>
        </w:numPr>
      </w:pPr>
      <w:r w:rsidRPr="00A7068E">
        <w:t>安全在庫リストの作成と維持</w:t>
      </w:r>
    </w:p>
    <w:p w14:paraId="24B01899" w14:textId="77777777" w:rsidR="00A7068E" w:rsidRPr="00A7068E" w:rsidRDefault="00A7068E" w:rsidP="00A7068E">
      <w:pPr>
        <w:numPr>
          <w:ilvl w:val="0"/>
          <w:numId w:val="8"/>
        </w:numPr>
      </w:pPr>
      <w:r w:rsidRPr="00A7068E">
        <w:t>安全在庫リストの変更の連絡</w:t>
      </w:r>
    </w:p>
    <w:p w14:paraId="12AC7AEE" w14:textId="77777777" w:rsidR="00A7068E" w:rsidRPr="00A7068E" w:rsidRDefault="00A7068E" w:rsidP="00A7068E">
      <w:pPr>
        <w:numPr>
          <w:ilvl w:val="0"/>
          <w:numId w:val="8"/>
        </w:numPr>
      </w:pPr>
      <w:r w:rsidRPr="00A7068E">
        <w:t>MAHが安全在庫に関する規制要件を満たすためのガイダンスの提供</w:t>
      </w:r>
    </w:p>
    <w:p w14:paraId="5E415479" w14:textId="0B528C03" w:rsidR="00BF340B" w:rsidRDefault="00A7068E" w:rsidP="00A7068E">
      <w:r w:rsidRPr="00A7068E">
        <w:t>私たちは、</w:t>
      </w:r>
      <w:r w:rsidRPr="00A7068E">
        <w:fldChar w:fldCharType="begin"/>
      </w:r>
      <w:r w:rsidRPr="00A7068E">
        <w:instrText>HYPERLINK "https://www.canada.ca/en/health-canada/services/drugs-health-products/compliance-enforcement/good-manufacturing-practices/policies-standards/compliance-enforcement-policy-0001.html"</w:instrText>
      </w:r>
      <w:r w:rsidRPr="00A7068E">
        <w:fldChar w:fldCharType="separate"/>
      </w:r>
      <w:r w:rsidRPr="00A7068E">
        <w:rPr>
          <w:rStyle w:val="a5"/>
        </w:rPr>
        <w:t>健康食品に関するコンプライアンスおよび実施方針（POL-0001）</w:t>
      </w:r>
      <w:r w:rsidRPr="00A7068E">
        <w:fldChar w:fldCharType="end"/>
      </w:r>
      <w:r w:rsidRPr="00A7068E">
        <w:t>に従って、これらの規制要件に関するコンプライアンスおよび実施活動を行ってい</w:t>
      </w:r>
      <w:r w:rsidR="005552BB">
        <w:rPr>
          <w:rFonts w:hint="eastAsia"/>
        </w:rPr>
        <w:t>る。</w:t>
      </w:r>
    </w:p>
    <w:p w14:paraId="2DFDEC3A" w14:textId="77777777" w:rsidR="00BF340B" w:rsidRPr="00A7068E" w:rsidRDefault="00BF340B" w:rsidP="00A7068E">
      <w:pPr>
        <w:rPr>
          <w:rFonts w:hint="eastAsia"/>
        </w:rPr>
      </w:pPr>
    </w:p>
    <w:p w14:paraId="2E6A833B" w14:textId="77777777" w:rsidR="00A7068E" w:rsidRPr="00BF340B" w:rsidRDefault="00A7068E" w:rsidP="00A7068E">
      <w:pPr>
        <w:rPr>
          <w:b/>
          <w:bCs/>
          <w:sz w:val="24"/>
          <w:szCs w:val="28"/>
        </w:rPr>
      </w:pPr>
      <w:r w:rsidRPr="00BF340B">
        <w:rPr>
          <w:b/>
          <w:bCs/>
          <w:sz w:val="24"/>
          <w:szCs w:val="28"/>
        </w:rPr>
        <w:t>規制の理解</w:t>
      </w:r>
    </w:p>
    <w:p w14:paraId="47394C9E" w14:textId="77777777" w:rsidR="00A7068E" w:rsidRPr="00A7068E" w:rsidRDefault="00A7068E" w:rsidP="00A7068E">
      <w:pPr>
        <w:rPr>
          <w:b/>
          <w:bCs/>
        </w:rPr>
      </w:pPr>
      <w:r w:rsidRPr="00A7068E">
        <w:rPr>
          <w:b/>
          <w:bCs/>
        </w:rPr>
        <w:t>安全在庫とは</w:t>
      </w:r>
    </w:p>
    <w:p w14:paraId="7C3D2F99" w14:textId="6A9D0328" w:rsidR="00A7068E" w:rsidRPr="00A7068E" w:rsidRDefault="00A7068E" w:rsidP="00A7068E">
      <w:r w:rsidRPr="00A7068E">
        <w:t>安全在庫とは、医薬品が不足し、それが公衆衛生に害を及ぼすことを防ぐために手元に置かれる余分な在庫のことで</w:t>
      </w:r>
      <w:r w:rsidR="005552BB">
        <w:rPr>
          <w:rFonts w:hint="eastAsia"/>
        </w:rPr>
        <w:t>ある</w:t>
      </w:r>
      <w:r w:rsidRPr="00A7068E">
        <w:t>。 この在庫は、需要が予測された需要や在庫を上回った場合</w:t>
      </w:r>
      <w:r w:rsidRPr="00A7068E">
        <w:lastRenderedPageBreak/>
        <w:t>や、入荷の遅れや混乱が生じた場合に、欠品を防ぐのに役立</w:t>
      </w:r>
      <w:r w:rsidR="005552BB">
        <w:rPr>
          <w:rFonts w:hint="eastAsia"/>
        </w:rPr>
        <w:t>つ</w:t>
      </w:r>
      <w:r w:rsidRPr="00A7068E">
        <w:t>。</w:t>
      </w:r>
    </w:p>
    <w:p w14:paraId="0E60251F" w14:textId="607E8236" w:rsidR="00A7068E" w:rsidRDefault="00A7068E" w:rsidP="00A7068E">
      <w:r w:rsidRPr="00A7068E">
        <w:t>安全在庫を維持することで、MAHは顧客からの注文に応え続けることができ、カナダ国内の人々が欠品によって被害を受けることがなくな</w:t>
      </w:r>
      <w:r w:rsidR="005552BB">
        <w:rPr>
          <w:rFonts w:hint="eastAsia"/>
        </w:rPr>
        <w:t>る</w:t>
      </w:r>
      <w:r w:rsidRPr="00A7068E">
        <w:t>。 このように、安全在庫は、人の健康に深刻かつ差し迫った危害をもたらす可能性のある医薬品不足を予防・緩和するのに役立ち、カナダの人々を守ることにもな</w:t>
      </w:r>
      <w:r w:rsidR="005552BB">
        <w:rPr>
          <w:rFonts w:hint="eastAsia"/>
        </w:rPr>
        <w:t>る</w:t>
      </w:r>
      <w:r w:rsidRPr="00A7068E">
        <w:t>。</w:t>
      </w:r>
      <w:r w:rsidR="005552BB">
        <w:br/>
      </w:r>
      <w:r w:rsidRPr="00A7068E">
        <w:t>安全在庫はカナダ国内で保管しなければな</w:t>
      </w:r>
      <w:r w:rsidR="005552BB">
        <w:rPr>
          <w:rFonts w:hint="eastAsia"/>
        </w:rPr>
        <w:t>らない</w:t>
      </w:r>
      <w:r w:rsidRPr="00A7068E">
        <w:t>。MAHは在庫が期限切れにならないよう、安全在庫を回転させることを勧める。</w:t>
      </w:r>
    </w:p>
    <w:p w14:paraId="4802D964" w14:textId="77777777" w:rsidR="00BF340B" w:rsidRPr="00A7068E" w:rsidRDefault="00BF340B" w:rsidP="00A7068E">
      <w:pPr>
        <w:rPr>
          <w:rFonts w:hint="eastAsia"/>
        </w:rPr>
      </w:pPr>
    </w:p>
    <w:p w14:paraId="197CD847" w14:textId="77777777" w:rsidR="00A7068E" w:rsidRPr="00A7068E" w:rsidRDefault="00A7068E" w:rsidP="00A7068E">
      <w:pPr>
        <w:rPr>
          <w:b/>
          <w:bCs/>
        </w:rPr>
      </w:pPr>
      <w:r w:rsidRPr="00A7068E">
        <w:rPr>
          <w:b/>
          <w:bCs/>
        </w:rPr>
        <w:t>安全在庫が必要な医薬品の決定</w:t>
      </w:r>
    </w:p>
    <w:p w14:paraId="401EBA0F" w14:textId="2047379D" w:rsidR="00A7068E" w:rsidRPr="00A7068E" w:rsidRDefault="00A7068E" w:rsidP="00A7068E">
      <w:r w:rsidRPr="00A7068E">
        <w:t>安全在庫リストは、医薬品識別番号（DIN）により医薬品を特定する。 リストに含まれる医薬品（DIN製品）を販売しているかどうかを判断するのはMAHの責任である。ただし、C.01.014.84(2)の免除規定が適用される場合はこの限りでは</w:t>
      </w:r>
      <w:r w:rsidR="005552BB">
        <w:rPr>
          <w:rFonts w:hint="eastAsia"/>
        </w:rPr>
        <w:t>ない</w:t>
      </w:r>
      <w:r w:rsidRPr="00A7068E">
        <w:t>。</w:t>
      </w:r>
    </w:p>
    <w:p w14:paraId="75D49BA0" w14:textId="0629933D" w:rsidR="00A7068E" w:rsidRPr="00A7068E" w:rsidRDefault="00A7068E" w:rsidP="00A7068E">
      <w:r w:rsidRPr="00A7068E">
        <w:t>カナダ保健省は、国民および利害関係者と協議の上、安全在庫リストを作成し、維持して</w:t>
      </w:r>
      <w:r w:rsidR="005552BB">
        <w:rPr>
          <w:rFonts w:hint="eastAsia"/>
        </w:rPr>
        <w:t>いる</w:t>
      </w:r>
      <w:r w:rsidRPr="00A7068E">
        <w:t>。 医薬品は、3つの前提条件がすべて満たされた場合にリストに掲載される。 つまり、以下のような合理的根拠がある場合である：</w:t>
      </w:r>
    </w:p>
    <w:p w14:paraId="78634295" w14:textId="04023A25" w:rsidR="00A7068E" w:rsidRPr="00A7068E" w:rsidRDefault="00A7068E" w:rsidP="00A7068E">
      <w:pPr>
        <w:numPr>
          <w:ilvl w:val="0"/>
          <w:numId w:val="9"/>
        </w:numPr>
      </w:pPr>
      <w:r w:rsidRPr="00A7068E">
        <w:t>その医薬品の供給不足は、人の健康に重大かつ差し迫った危険をもたらす可能性がある</w:t>
      </w:r>
    </w:p>
    <w:p w14:paraId="12FE38E8" w14:textId="647D4CA5" w:rsidR="00A7068E" w:rsidRPr="00A7068E" w:rsidRDefault="00A7068E" w:rsidP="00A7068E">
      <w:pPr>
        <w:numPr>
          <w:ilvl w:val="0"/>
          <w:numId w:val="9"/>
        </w:numPr>
      </w:pPr>
      <w:r w:rsidRPr="00A7068E">
        <w:t>その医薬品の安全在庫を保有することが技術的に可能である</w:t>
      </w:r>
    </w:p>
    <w:p w14:paraId="3DD9C99D" w14:textId="35F2406A" w:rsidR="00A7068E" w:rsidRPr="00A7068E" w:rsidRDefault="00A7068E" w:rsidP="00A7068E">
      <w:pPr>
        <w:numPr>
          <w:ilvl w:val="0"/>
          <w:numId w:val="9"/>
        </w:numPr>
      </w:pPr>
      <w:r w:rsidRPr="00A7068E">
        <w:t>カナダで安全在庫が確保されない場合、人の健康に深刻かつ差し迫った危険をもたらす欠品につながる可能性がある</w:t>
      </w:r>
    </w:p>
    <w:p w14:paraId="671861C0" w14:textId="28C2D853" w:rsidR="00A7068E" w:rsidRPr="00A7068E" w:rsidRDefault="00A7068E" w:rsidP="00A7068E">
      <w:r w:rsidRPr="00A7068E">
        <w:t>安全在庫リストは2つのパートに分かれてい</w:t>
      </w:r>
      <w:r w:rsidR="005552BB">
        <w:rPr>
          <w:rFonts w:hint="eastAsia"/>
        </w:rPr>
        <w:t>る</w:t>
      </w:r>
    </w:p>
    <w:p w14:paraId="2D6AFB29" w14:textId="55F1BADF" w:rsidR="00A7068E" w:rsidRPr="00A7068E" w:rsidRDefault="00A7068E" w:rsidP="00A7068E">
      <w:pPr>
        <w:numPr>
          <w:ilvl w:val="0"/>
          <w:numId w:val="10"/>
        </w:numPr>
      </w:pPr>
      <w:r w:rsidRPr="00A7068E">
        <w:t>パート1には、3ヶ月分の安全在庫を保有しなければならない医薬品が含まれる（前年度の月平均需要に基づく）</w:t>
      </w:r>
    </w:p>
    <w:p w14:paraId="7C3229C2" w14:textId="359AEB3B" w:rsidR="00A7068E" w:rsidRPr="00A7068E" w:rsidRDefault="00A7068E" w:rsidP="00A7068E">
      <w:pPr>
        <w:numPr>
          <w:ilvl w:val="0"/>
          <w:numId w:val="10"/>
        </w:numPr>
      </w:pPr>
      <w:r w:rsidRPr="00A7068E">
        <w:t>パート2には、異なる月数の安全在庫を保有しなければならない医薬品、または異なる基準期間を用いて金額を計算する医薬品が含まれる</w:t>
      </w:r>
    </w:p>
    <w:p w14:paraId="2B78FDD3" w14:textId="74B58918" w:rsidR="00A7068E" w:rsidRPr="00A7068E" w:rsidRDefault="00A7068E" w:rsidP="00A7068E">
      <w:r w:rsidRPr="00A7068E">
        <w:t>利害関係者の協議に基づき、安全在庫リストに変更が加えられる。 これはカナダ保健省の</w:t>
      </w:r>
      <w:r w:rsidRPr="00A7068E">
        <w:fldChar w:fldCharType="begin"/>
      </w:r>
      <w:r w:rsidRPr="00A7068E">
        <w:instrText>HYPERLINK "https://www.canada.ca/en/health-canada/corporate/about-health-canada/legislation-guidelines/acts-regulations/incorporation-reference-policy.html"</w:instrText>
      </w:r>
      <w:r w:rsidRPr="00A7068E">
        <w:fldChar w:fldCharType="separate"/>
      </w:r>
      <w:r w:rsidRPr="00A7068E">
        <w:rPr>
          <w:rStyle w:val="a5"/>
        </w:rPr>
        <w:t>参照による取り込み方針</w:t>
      </w:r>
      <w:r w:rsidRPr="00A7068E">
        <w:fldChar w:fldCharType="end"/>
      </w:r>
      <w:r w:rsidRPr="00A7068E">
        <w:t>に沿ったもので</w:t>
      </w:r>
      <w:r w:rsidR="005552BB">
        <w:rPr>
          <w:rFonts w:hint="eastAsia"/>
        </w:rPr>
        <w:t>ある</w:t>
      </w:r>
      <w:r w:rsidRPr="00A7068E">
        <w:t>。 MAHはコンサルテーション・プロセスに参加することが強く推奨さ</w:t>
      </w:r>
      <w:r w:rsidR="005552BB">
        <w:rPr>
          <w:rFonts w:hint="eastAsia"/>
        </w:rPr>
        <w:t>れる</w:t>
      </w:r>
      <w:r w:rsidRPr="00A7068E">
        <w:t>。 カナダ保健省は、医薬品を安全在庫として保有すべきかどうかを決定する際に、関係者の協議からの情報を取り入れ</w:t>
      </w:r>
      <w:r w:rsidR="005552BB">
        <w:rPr>
          <w:rFonts w:hint="eastAsia"/>
        </w:rPr>
        <w:t>る</w:t>
      </w:r>
      <w:r w:rsidRPr="00A7068E">
        <w:t>。</w:t>
      </w:r>
    </w:p>
    <w:p w14:paraId="5BAE555A" w14:textId="2D3145C1" w:rsidR="00A7068E" w:rsidRPr="00A7068E" w:rsidRDefault="00A7068E" w:rsidP="00A7068E">
      <w:r w:rsidRPr="00A7068E">
        <w:t>カナダ保健省がリストを修正する際には、MAHは新たな在庫保有義務を遵守するための十分な時間が与えら</w:t>
      </w:r>
      <w:r w:rsidR="005552BB">
        <w:rPr>
          <w:rFonts w:hint="eastAsia"/>
        </w:rPr>
        <w:t>れる</w:t>
      </w:r>
      <w:r w:rsidRPr="00A7068E">
        <w:t>。</w:t>
      </w:r>
    </w:p>
    <w:p w14:paraId="4A0D4565" w14:textId="46A86C4D" w:rsidR="00A7068E" w:rsidRPr="00A7068E" w:rsidRDefault="00A7068E" w:rsidP="00A7068E">
      <w:r w:rsidRPr="00A7068E">
        <w:t>MAHは、医薬品のパート1またはパート2への追加を決定する際に参考となる情報をカナダ保健省に提出することができ</w:t>
      </w:r>
      <w:r w:rsidR="005552BB">
        <w:rPr>
          <w:rFonts w:hint="eastAsia"/>
        </w:rPr>
        <w:t>、</w:t>
      </w:r>
      <w:r w:rsidRPr="00A7068E">
        <w:t>これには以下が含まれる：</w:t>
      </w:r>
    </w:p>
    <w:p w14:paraId="7A2C1C83" w14:textId="464FAD60" w:rsidR="00A7068E" w:rsidRPr="00A7068E" w:rsidRDefault="00A7068E" w:rsidP="00A7068E">
      <w:pPr>
        <w:numPr>
          <w:ilvl w:val="0"/>
          <w:numId w:val="11"/>
        </w:numPr>
      </w:pPr>
      <w:r w:rsidRPr="00A7068E">
        <w:rPr>
          <w:b/>
          <w:bCs/>
        </w:rPr>
        <w:t>安全在庫を保有することが技術的に不可能であることを証明したい</w:t>
      </w:r>
      <w:r w:rsidRPr="00A7068E">
        <w:t>医薬品医療機関</w:t>
      </w:r>
    </w:p>
    <w:p w14:paraId="094ED237" w14:textId="79BB08D3" w:rsidR="00A7068E" w:rsidRPr="00A7068E" w:rsidRDefault="00A7068E" w:rsidP="00A7068E">
      <w:pPr>
        <w:numPr>
          <w:ilvl w:val="0"/>
          <w:numId w:val="11"/>
        </w:numPr>
      </w:pPr>
      <w:r w:rsidRPr="00A7068E">
        <w:rPr>
          <w:b/>
          <w:bCs/>
        </w:rPr>
        <w:t>異なる月数の安全在庫を保有すべきであることを証明したい場合</w:t>
      </w:r>
    </w:p>
    <w:p w14:paraId="2FE34EF0" w14:textId="174E7566" w:rsidR="00A7068E" w:rsidRPr="00BF340B" w:rsidRDefault="00A7068E" w:rsidP="00A7068E">
      <w:pPr>
        <w:numPr>
          <w:ilvl w:val="0"/>
          <w:numId w:val="11"/>
        </w:numPr>
      </w:pPr>
      <w:r w:rsidRPr="00A7068E">
        <w:rPr>
          <w:b/>
          <w:bCs/>
        </w:rPr>
        <w:t>保有すべき安全在庫の量を計算するために、異なる基準期間を使用すべきであるこ</w:t>
      </w:r>
      <w:r w:rsidRPr="00A7068E">
        <w:rPr>
          <w:b/>
          <w:bCs/>
        </w:rPr>
        <w:lastRenderedPageBreak/>
        <w:t>とを証明したいMAH</w:t>
      </w:r>
    </w:p>
    <w:p w14:paraId="21E9A7CF" w14:textId="77777777" w:rsidR="00BF340B" w:rsidRPr="00A7068E" w:rsidRDefault="00BF340B" w:rsidP="00BF340B">
      <w:pPr>
        <w:ind w:left="720"/>
        <w:rPr>
          <w:rFonts w:hint="eastAsia"/>
        </w:rPr>
      </w:pPr>
    </w:p>
    <w:p w14:paraId="3E58278D" w14:textId="77777777" w:rsidR="00A7068E" w:rsidRPr="00A7068E" w:rsidRDefault="00A7068E" w:rsidP="00A7068E">
      <w:r w:rsidRPr="00A7068E">
        <w:t>異なる量の安全在庫を保有しなければならないかどうかを決定する際には、以下のような多くの要因を考慮する：</w:t>
      </w:r>
    </w:p>
    <w:p w14:paraId="56F2284F" w14:textId="77777777" w:rsidR="00A7068E" w:rsidRPr="00A7068E" w:rsidRDefault="00A7068E" w:rsidP="00A7068E">
      <w:pPr>
        <w:numPr>
          <w:ilvl w:val="0"/>
          <w:numId w:val="12"/>
        </w:numPr>
      </w:pPr>
      <w:r w:rsidRPr="00A7068E">
        <w:t>保管条件</w:t>
      </w:r>
    </w:p>
    <w:p w14:paraId="2301419B" w14:textId="77777777" w:rsidR="00A7068E" w:rsidRPr="00A7068E" w:rsidRDefault="00A7068E" w:rsidP="00A7068E">
      <w:pPr>
        <w:numPr>
          <w:ilvl w:val="0"/>
          <w:numId w:val="12"/>
        </w:numPr>
      </w:pPr>
      <w:r w:rsidRPr="00A7068E">
        <w:t>保存期間の短い医薬品</w:t>
      </w:r>
    </w:p>
    <w:p w14:paraId="023EA829" w14:textId="77777777" w:rsidR="00A7068E" w:rsidRPr="00A7068E" w:rsidRDefault="00A7068E" w:rsidP="00A7068E">
      <w:pPr>
        <w:numPr>
          <w:ilvl w:val="0"/>
          <w:numId w:val="12"/>
        </w:numPr>
      </w:pPr>
      <w:r w:rsidRPr="00A7068E">
        <w:t>季節性や需要の変動</w:t>
      </w:r>
    </w:p>
    <w:p w14:paraId="38C5DFFF" w14:textId="77777777" w:rsidR="00A7068E" w:rsidRPr="00A7068E" w:rsidRDefault="00A7068E" w:rsidP="00A7068E">
      <w:pPr>
        <w:numPr>
          <w:ilvl w:val="0"/>
          <w:numId w:val="12"/>
        </w:numPr>
      </w:pPr>
      <w:r w:rsidRPr="00A7068E">
        <w:t>特殊な、あるいはまれな生産工程</w:t>
      </w:r>
    </w:p>
    <w:p w14:paraId="1A2F0ED6" w14:textId="77777777" w:rsidR="00A7068E" w:rsidRPr="00A7068E" w:rsidRDefault="00A7068E" w:rsidP="00A7068E">
      <w:pPr>
        <w:numPr>
          <w:ilvl w:val="0"/>
          <w:numId w:val="12"/>
        </w:numPr>
      </w:pPr>
      <w:r w:rsidRPr="00A7068E">
        <w:t>前年の需要は現在の需要を表していない</w:t>
      </w:r>
    </w:p>
    <w:p w14:paraId="1A58E004" w14:textId="77777777" w:rsidR="00A7068E" w:rsidRDefault="00A7068E" w:rsidP="00A7068E">
      <w:r w:rsidRPr="00A7068E">
        <w:t>書面による要請は、</w:t>
      </w:r>
      <w:r>
        <w:fldChar w:fldCharType="begin"/>
      </w:r>
      <w:r>
        <w:instrText>HYPERLINK "mailto:Drug.shortages-Penurie.de.medicament@hc-sc.gc.ca"</w:instrText>
      </w:r>
      <w:r>
        <w:fldChar w:fldCharType="separate"/>
      </w:r>
      <w:r w:rsidRPr="00A7068E">
        <w:rPr>
          <w:rStyle w:val="a5"/>
        </w:rPr>
        <w:t>Drug.shortages-</w:t>
      </w:r>
      <w:r>
        <w:fldChar w:fldCharType="end"/>
      </w:r>
      <w:hyperlink r:id="rId9" w:history="1">
        <w:r w:rsidRPr="00A7068E">
          <w:rPr>
            <w:rStyle w:val="a5"/>
          </w:rPr>
          <w:t>Penurie.de.medicament@hc-sc.gc.ca</w:t>
        </w:r>
      </w:hyperlink>
      <w:r w:rsidRPr="00A7068E">
        <w:t>までEメールで提出できる。</w:t>
      </w:r>
    </w:p>
    <w:p w14:paraId="35E8DE0A" w14:textId="77777777" w:rsidR="00BF340B" w:rsidRPr="00A7068E" w:rsidRDefault="00BF340B" w:rsidP="00A7068E">
      <w:pPr>
        <w:rPr>
          <w:rFonts w:hint="eastAsia"/>
        </w:rPr>
      </w:pPr>
    </w:p>
    <w:p w14:paraId="5E96BCBD" w14:textId="77777777" w:rsidR="00A7068E" w:rsidRPr="00A7068E" w:rsidRDefault="00A7068E" w:rsidP="00A7068E">
      <w:pPr>
        <w:rPr>
          <w:b/>
          <w:bCs/>
        </w:rPr>
      </w:pPr>
      <w:r w:rsidRPr="00A7068E">
        <w:rPr>
          <w:b/>
          <w:bCs/>
        </w:rPr>
        <w:t>安全在庫の保有量</w:t>
      </w:r>
    </w:p>
    <w:p w14:paraId="57D37CD8" w14:textId="77777777" w:rsidR="00A7068E" w:rsidRPr="00A7068E" w:rsidRDefault="00A7068E" w:rsidP="00A7068E">
      <w:pPr>
        <w:rPr>
          <w:b/>
          <w:bCs/>
        </w:rPr>
      </w:pPr>
      <w:r w:rsidRPr="00A7068E">
        <w:rPr>
          <w:b/>
          <w:bCs/>
        </w:rPr>
        <w:t>安全在庫リスト第1部の医薬品について</w:t>
      </w:r>
    </w:p>
    <w:p w14:paraId="676950AB" w14:textId="2463EF99" w:rsidR="00A7068E" w:rsidRPr="00A7068E" w:rsidRDefault="00A7068E" w:rsidP="00A7068E">
      <w:r w:rsidRPr="00A7068E">
        <w:t>安全在庫リストのパート1に含まれる医薬品については、それぞれ3カ月分の安全在庫が必要で</w:t>
      </w:r>
      <w:r w:rsidR="005552BB">
        <w:rPr>
          <w:rFonts w:hint="eastAsia"/>
        </w:rPr>
        <w:t>ある</w:t>
      </w:r>
      <w:r w:rsidRPr="00A7068E">
        <w:t>。 MAHは、前暦年にカナダで販売された医薬品の総数量を基に、以下の計算式でこの量を算出しなければならない：</w:t>
      </w:r>
    </w:p>
    <w:p w14:paraId="4E48A708" w14:textId="77777777" w:rsidR="00A7068E" w:rsidRPr="00A7068E" w:rsidRDefault="00A7068E" w:rsidP="00A7068E">
      <w:pPr>
        <w:numPr>
          <w:ilvl w:val="0"/>
          <w:numId w:val="13"/>
        </w:numPr>
      </w:pPr>
      <w:r w:rsidRPr="00A7068E">
        <w:t>安全在庫に含まれる量＝（A/12）×3</w:t>
      </w:r>
    </w:p>
    <w:p w14:paraId="543CC1DC" w14:textId="77777777" w:rsidR="00A7068E" w:rsidRPr="00A7068E" w:rsidRDefault="00A7068E" w:rsidP="00A7068E">
      <w:pPr>
        <w:numPr>
          <w:ilvl w:val="0"/>
          <w:numId w:val="13"/>
        </w:numPr>
      </w:pPr>
      <w:r w:rsidRPr="00A7068E">
        <w:t>A = 前暦年にMAHがカナダで販売した医薬品の総量</w:t>
      </w:r>
    </w:p>
    <w:p w14:paraId="39E5FA9A" w14:textId="77777777" w:rsidR="00A7068E" w:rsidRPr="00A7068E" w:rsidRDefault="00A7068E" w:rsidP="00A7068E">
      <w:r w:rsidRPr="00A7068E">
        <w:t>例 同社は昨年12,000台を販売した。 したがって、式中のAの値は12,000個となる。</w:t>
      </w:r>
    </w:p>
    <w:p w14:paraId="46CBAC14" w14:textId="77777777" w:rsidR="00A7068E" w:rsidRPr="00A7068E" w:rsidRDefault="00A7068E" w:rsidP="00A7068E">
      <w:pPr>
        <w:numPr>
          <w:ilvl w:val="0"/>
          <w:numId w:val="14"/>
        </w:numPr>
      </w:pPr>
      <w:r w:rsidRPr="00A7068E">
        <w:t>安全在庫に入れるべき数量 = (12,000個/12) × 3</w:t>
      </w:r>
    </w:p>
    <w:p w14:paraId="0E9555B5" w14:textId="77777777" w:rsidR="00A7068E" w:rsidRDefault="00A7068E" w:rsidP="00A7068E">
      <w:pPr>
        <w:numPr>
          <w:ilvl w:val="0"/>
          <w:numId w:val="14"/>
        </w:numPr>
      </w:pPr>
      <w:r w:rsidRPr="00A7068E">
        <w:t>= 安全在庫は3000個必要</w:t>
      </w:r>
    </w:p>
    <w:p w14:paraId="50EA6707" w14:textId="77777777" w:rsidR="00BF340B" w:rsidRPr="00A7068E" w:rsidRDefault="00BF340B" w:rsidP="00BF340B">
      <w:pPr>
        <w:ind w:left="720"/>
        <w:rPr>
          <w:rFonts w:hint="eastAsia"/>
        </w:rPr>
      </w:pPr>
    </w:p>
    <w:p w14:paraId="1205BD73" w14:textId="77777777" w:rsidR="00A7068E" w:rsidRPr="00A7068E" w:rsidRDefault="00A7068E" w:rsidP="00A7068E">
      <w:r w:rsidRPr="00A7068E">
        <w:t>パート1のビジュアル例を表1に示す。</w:t>
      </w:r>
    </w:p>
    <w:tbl>
      <w:tblPr>
        <w:tblW w:w="5000" w:type="pct"/>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832"/>
        <w:gridCol w:w="2731"/>
        <w:gridCol w:w="1434"/>
        <w:gridCol w:w="2507"/>
      </w:tblGrid>
      <w:tr w:rsidR="00A7068E" w:rsidRPr="00A7068E" w14:paraId="4D387EC0" w14:textId="77777777" w:rsidTr="005552BB">
        <w:trPr>
          <w:tblHeader/>
        </w:trPr>
        <w:tc>
          <w:tcPr>
            <w:tcW w:w="5000" w:type="pct"/>
            <w:gridSpan w:val="4"/>
            <w:tcBorders>
              <w:top w:val="nil"/>
              <w:left w:val="nil"/>
              <w:bottom w:val="nil"/>
              <w:right w:val="nil"/>
            </w:tcBorders>
            <w:shd w:val="clear" w:color="auto" w:fill="F0F0F0"/>
            <w:tcMar>
              <w:top w:w="120" w:type="dxa"/>
              <w:left w:w="120" w:type="dxa"/>
              <w:bottom w:w="120" w:type="dxa"/>
              <w:right w:w="120" w:type="dxa"/>
            </w:tcMar>
            <w:vAlign w:val="center"/>
            <w:hideMark/>
          </w:tcPr>
          <w:p w14:paraId="01419D34" w14:textId="77777777" w:rsidR="00A7068E" w:rsidRPr="00A7068E" w:rsidRDefault="00A7068E" w:rsidP="00A7068E">
            <w:pPr>
              <w:rPr>
                <w:b/>
                <w:bCs/>
              </w:rPr>
            </w:pPr>
            <w:r w:rsidRPr="00A7068E">
              <w:rPr>
                <w:b/>
                <w:bCs/>
              </w:rPr>
              <w:t>表1：安全在庫リストのパート1のビジュアル例</w:t>
            </w:r>
          </w:p>
        </w:tc>
      </w:tr>
      <w:tr w:rsidR="00A7068E" w:rsidRPr="00A7068E" w14:paraId="7EA7B5B6" w14:textId="77777777" w:rsidTr="005552BB">
        <w:trPr>
          <w:tblHeader/>
        </w:trPr>
        <w:tc>
          <w:tcPr>
            <w:tcW w:w="5000" w:type="pct"/>
            <w:gridSpan w:val="4"/>
            <w:tcBorders>
              <w:top w:val="nil"/>
              <w:left w:val="single" w:sz="6" w:space="0" w:color="DDDDDD"/>
              <w:bottom w:val="single" w:sz="12" w:space="0" w:color="DDDDDD"/>
              <w:right w:val="single" w:sz="6" w:space="0" w:color="DDDDDD"/>
            </w:tcBorders>
            <w:shd w:val="clear" w:color="auto" w:fill="F0F0F0"/>
            <w:tcMar>
              <w:top w:w="120" w:type="dxa"/>
              <w:left w:w="120" w:type="dxa"/>
              <w:bottom w:w="120" w:type="dxa"/>
              <w:right w:w="120" w:type="dxa"/>
            </w:tcMar>
            <w:vAlign w:val="bottom"/>
            <w:hideMark/>
          </w:tcPr>
          <w:p w14:paraId="0B6361B3" w14:textId="77777777" w:rsidR="00A7068E" w:rsidRPr="00A7068E" w:rsidRDefault="00A7068E" w:rsidP="00A7068E">
            <w:pPr>
              <w:rPr>
                <w:b/>
                <w:bCs/>
              </w:rPr>
            </w:pPr>
            <w:r w:rsidRPr="00A7068E">
              <w:rPr>
                <w:b/>
                <w:bCs/>
              </w:rPr>
              <w:t>パート1： 3ヶ月の安全在庫が必要な医薬品</w:t>
            </w:r>
          </w:p>
        </w:tc>
      </w:tr>
      <w:tr w:rsidR="00A7068E" w:rsidRPr="00A7068E" w14:paraId="7577B158" w14:textId="77777777" w:rsidTr="005552BB">
        <w:trPr>
          <w:tblHeader/>
        </w:trPr>
        <w:tc>
          <w:tcPr>
            <w:tcW w:w="1077" w:type="pct"/>
            <w:tcBorders>
              <w:top w:val="single" w:sz="6" w:space="0" w:color="DDDDDD"/>
              <w:left w:val="single" w:sz="6" w:space="0" w:color="DDDDDD"/>
              <w:bottom w:val="single" w:sz="12" w:space="0" w:color="DDDDDD"/>
              <w:right w:val="single" w:sz="6" w:space="0" w:color="DDDDDD"/>
            </w:tcBorders>
            <w:shd w:val="clear" w:color="auto" w:fill="F0F0F0"/>
            <w:tcMar>
              <w:top w:w="120" w:type="dxa"/>
              <w:left w:w="120" w:type="dxa"/>
              <w:bottom w:w="120" w:type="dxa"/>
              <w:right w:w="120" w:type="dxa"/>
            </w:tcMar>
            <w:vAlign w:val="bottom"/>
            <w:hideMark/>
          </w:tcPr>
          <w:p w14:paraId="02F31556" w14:textId="77777777" w:rsidR="00A7068E" w:rsidRPr="00A7068E" w:rsidRDefault="00A7068E" w:rsidP="00A7068E">
            <w:pPr>
              <w:rPr>
                <w:b/>
                <w:bCs/>
              </w:rPr>
            </w:pPr>
            <w:r w:rsidRPr="00A7068E">
              <w:rPr>
                <w:b/>
                <w:bCs/>
              </w:rPr>
              <w:t>医薬品識別番号</w:t>
            </w:r>
          </w:p>
        </w:tc>
        <w:tc>
          <w:tcPr>
            <w:tcW w:w="1606" w:type="pct"/>
            <w:tcBorders>
              <w:top w:val="single" w:sz="6" w:space="0" w:color="DDDDDD"/>
              <w:left w:val="single" w:sz="6" w:space="0" w:color="DDDDDD"/>
              <w:bottom w:val="single" w:sz="12" w:space="0" w:color="DDDDDD"/>
              <w:right w:val="single" w:sz="6" w:space="0" w:color="DDDDDD"/>
            </w:tcBorders>
            <w:shd w:val="clear" w:color="auto" w:fill="F0F0F0"/>
            <w:tcMar>
              <w:top w:w="120" w:type="dxa"/>
              <w:left w:w="120" w:type="dxa"/>
              <w:bottom w:w="120" w:type="dxa"/>
              <w:right w:w="120" w:type="dxa"/>
            </w:tcMar>
            <w:vAlign w:val="bottom"/>
            <w:hideMark/>
          </w:tcPr>
          <w:p w14:paraId="42862E6D" w14:textId="77777777" w:rsidR="00A7068E" w:rsidRPr="00A7068E" w:rsidRDefault="00A7068E" w:rsidP="00A7068E">
            <w:pPr>
              <w:rPr>
                <w:b/>
                <w:bCs/>
              </w:rPr>
            </w:pPr>
            <w:r w:rsidRPr="00A7068E">
              <w:rPr>
                <w:b/>
                <w:bCs/>
              </w:rPr>
              <w:t>医薬品名、医薬品成分名</w:t>
            </w:r>
          </w:p>
        </w:tc>
        <w:tc>
          <w:tcPr>
            <w:tcW w:w="843" w:type="pct"/>
            <w:tcBorders>
              <w:top w:val="single" w:sz="6" w:space="0" w:color="DDDDDD"/>
              <w:left w:val="single" w:sz="6" w:space="0" w:color="DDDDDD"/>
              <w:bottom w:val="single" w:sz="12" w:space="0" w:color="DDDDDD"/>
              <w:right w:val="single" w:sz="6" w:space="0" w:color="DDDDDD"/>
            </w:tcBorders>
            <w:shd w:val="clear" w:color="auto" w:fill="F0F0F0"/>
            <w:tcMar>
              <w:top w:w="120" w:type="dxa"/>
              <w:left w:w="120" w:type="dxa"/>
              <w:bottom w:w="120" w:type="dxa"/>
              <w:right w:w="120" w:type="dxa"/>
            </w:tcMar>
            <w:vAlign w:val="bottom"/>
            <w:hideMark/>
          </w:tcPr>
          <w:p w14:paraId="30AFEF8E" w14:textId="77777777" w:rsidR="00A7068E" w:rsidRPr="00A7068E" w:rsidRDefault="00A7068E" w:rsidP="00A7068E">
            <w:pPr>
              <w:rPr>
                <w:b/>
                <w:bCs/>
              </w:rPr>
            </w:pPr>
            <w:r w:rsidRPr="00A7068E">
              <w:rPr>
                <w:b/>
                <w:bCs/>
              </w:rPr>
              <w:t>メーカー名</w:t>
            </w:r>
          </w:p>
        </w:tc>
        <w:tc>
          <w:tcPr>
            <w:tcW w:w="1474" w:type="pct"/>
            <w:tcBorders>
              <w:top w:val="single" w:sz="6" w:space="0" w:color="DDDDDD"/>
              <w:left w:val="single" w:sz="6" w:space="0" w:color="DDDDDD"/>
              <w:bottom w:val="single" w:sz="12" w:space="0" w:color="DDDDDD"/>
              <w:right w:val="single" w:sz="6" w:space="0" w:color="DDDDDD"/>
            </w:tcBorders>
            <w:shd w:val="clear" w:color="auto" w:fill="F0F0F0"/>
            <w:tcMar>
              <w:top w:w="120" w:type="dxa"/>
              <w:left w:w="120" w:type="dxa"/>
              <w:bottom w:w="120" w:type="dxa"/>
              <w:right w:w="120" w:type="dxa"/>
            </w:tcMar>
            <w:vAlign w:val="bottom"/>
            <w:hideMark/>
          </w:tcPr>
          <w:p w14:paraId="6885F0E7" w14:textId="1A73CB7C" w:rsidR="00A7068E" w:rsidRPr="00A7068E" w:rsidRDefault="00A7068E" w:rsidP="00A7068E">
            <w:pPr>
              <w:rPr>
                <w:b/>
                <w:bCs/>
              </w:rPr>
            </w:pPr>
            <w:r w:rsidRPr="00A7068E">
              <w:rPr>
                <w:b/>
                <w:bCs/>
              </w:rPr>
              <w:t>剤形、</w:t>
            </w:r>
            <w:r w:rsidR="005552BB">
              <w:rPr>
                <w:rFonts w:hint="eastAsia"/>
                <w:b/>
                <w:bCs/>
              </w:rPr>
              <w:t>強度</w:t>
            </w:r>
            <w:r w:rsidRPr="00A7068E">
              <w:rPr>
                <w:b/>
                <w:bCs/>
              </w:rPr>
              <w:t>、投与経路</w:t>
            </w:r>
          </w:p>
        </w:tc>
      </w:tr>
      <w:tr w:rsidR="00A7068E" w:rsidRPr="00A7068E" w14:paraId="7DF08FC6" w14:textId="77777777" w:rsidTr="005552BB">
        <w:tc>
          <w:tcPr>
            <w:tcW w:w="1077"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BDB7E99" w14:textId="77777777" w:rsidR="00A7068E" w:rsidRPr="00A7068E" w:rsidRDefault="00A7068E" w:rsidP="00A7068E">
            <w:r w:rsidRPr="00A7068E">
              <w:t>01234567</w:t>
            </w:r>
          </w:p>
        </w:tc>
        <w:tc>
          <w:tcPr>
            <w:tcW w:w="160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E947058" w14:textId="77777777" w:rsidR="00A7068E" w:rsidRPr="00A7068E" w:rsidRDefault="00A7068E" w:rsidP="00A7068E">
            <w:r w:rsidRPr="00A7068E">
              <w:t>医薬品C社</w:t>
            </w:r>
          </w:p>
        </w:tc>
        <w:tc>
          <w:tcPr>
            <w:tcW w:w="843"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FA6EC16" w14:textId="77777777" w:rsidR="00A7068E" w:rsidRPr="00A7068E" w:rsidRDefault="00A7068E" w:rsidP="00A7068E">
            <w:r w:rsidRPr="00A7068E">
              <w:t>医薬品C社</w:t>
            </w:r>
          </w:p>
        </w:tc>
        <w:tc>
          <w:tcPr>
            <w:tcW w:w="147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1BBD53E" w14:textId="77777777" w:rsidR="00A7068E" w:rsidRPr="00A7068E" w:rsidRDefault="00A7068E" w:rsidP="00A7068E">
            <w:r w:rsidRPr="00A7068E">
              <w:t>錠剤、150mg、経口</w:t>
            </w:r>
          </w:p>
        </w:tc>
      </w:tr>
    </w:tbl>
    <w:p w14:paraId="6F22859B" w14:textId="77777777" w:rsidR="00BF340B" w:rsidRDefault="00BF340B" w:rsidP="00A7068E">
      <w:pPr>
        <w:rPr>
          <w:b/>
          <w:bCs/>
        </w:rPr>
      </w:pPr>
    </w:p>
    <w:p w14:paraId="10C8A07C" w14:textId="4B7F5667" w:rsidR="00A7068E" w:rsidRPr="00A7068E" w:rsidRDefault="00A7068E" w:rsidP="00A7068E">
      <w:pPr>
        <w:rPr>
          <w:b/>
          <w:bCs/>
        </w:rPr>
      </w:pPr>
      <w:r w:rsidRPr="00A7068E">
        <w:rPr>
          <w:b/>
          <w:bCs/>
        </w:rPr>
        <w:t>安全在庫リスト第2部に収載されている医薬品について</w:t>
      </w:r>
    </w:p>
    <w:p w14:paraId="7BC16AC4" w14:textId="77777777" w:rsidR="00A7068E" w:rsidRPr="00A7068E" w:rsidRDefault="00A7068E" w:rsidP="00A7068E">
      <w:r w:rsidRPr="00A7068E">
        <w:t>安全在庫リスト第2部に収載されている医薬品については、各医薬品の具体的な状況に応じて、以下の式により安全在庫の必要量を算出する：</w:t>
      </w:r>
    </w:p>
    <w:p w14:paraId="4629EA79" w14:textId="77777777" w:rsidR="00A7068E" w:rsidRPr="00A7068E" w:rsidRDefault="00A7068E" w:rsidP="00A7068E">
      <w:pPr>
        <w:numPr>
          <w:ilvl w:val="0"/>
          <w:numId w:val="15"/>
        </w:numPr>
      </w:pPr>
      <w:r w:rsidRPr="00A7068E">
        <w:t>安全在庫量＝（A/B）×C</w:t>
      </w:r>
    </w:p>
    <w:p w14:paraId="5114F4CE" w14:textId="77777777" w:rsidR="00A7068E" w:rsidRPr="00A7068E" w:rsidRDefault="00A7068E" w:rsidP="00A7068E">
      <w:pPr>
        <w:numPr>
          <w:ilvl w:val="0"/>
          <w:numId w:val="15"/>
        </w:numPr>
      </w:pPr>
      <w:r w:rsidRPr="00A7068E">
        <w:lastRenderedPageBreak/>
        <w:t>A＝安全在庫リストの第2部第1欄に記載された基準期間中にMAHがカナダ国内で販売した医薬品の総量</w:t>
      </w:r>
    </w:p>
    <w:p w14:paraId="2C005C4D" w14:textId="77777777" w:rsidR="00A7068E" w:rsidRPr="00A7068E" w:rsidRDefault="00A7068E" w:rsidP="00A7068E">
      <w:pPr>
        <w:numPr>
          <w:ilvl w:val="0"/>
          <w:numId w:val="15"/>
        </w:numPr>
      </w:pPr>
      <w:r w:rsidRPr="00A7068E">
        <w:t>B = 医薬品の基準期間（安全在庫リストのパート2の1列目）</w:t>
      </w:r>
    </w:p>
    <w:p w14:paraId="24E1CB2B" w14:textId="77777777" w:rsidR="00A7068E" w:rsidRPr="00A7068E" w:rsidRDefault="00A7068E" w:rsidP="00A7068E">
      <w:pPr>
        <w:numPr>
          <w:ilvl w:val="0"/>
          <w:numId w:val="15"/>
        </w:numPr>
      </w:pPr>
      <w:r w:rsidRPr="00A7068E">
        <w:t>C = 必要な安全在庫の総月数（安全在庫リスト第2部第2欄）</w:t>
      </w:r>
    </w:p>
    <w:p w14:paraId="053BF842" w14:textId="77777777" w:rsidR="00A7068E" w:rsidRPr="00A7068E" w:rsidRDefault="00A7068E" w:rsidP="00A7068E">
      <w:r w:rsidRPr="00A7068E">
        <w:t>例 同社は 2024 年 4 月から 2024 年 7 月までの基準期間に 12,000 個を販売した。 したがって、計算式におけるAの値は12,000単位となる。</w:t>
      </w:r>
    </w:p>
    <w:p w14:paraId="68AFA1F7" w14:textId="77777777" w:rsidR="00A7068E" w:rsidRPr="00A7068E" w:rsidRDefault="00A7068E" w:rsidP="00A7068E">
      <w:r w:rsidRPr="00A7068E">
        <w:t>カナダ保健省は、医薬品がパート2安全在庫リストに追加される際に、BとCの値を決定します。 この例では、カナダ保健省は次のように決定する：</w:t>
      </w:r>
    </w:p>
    <w:p w14:paraId="34E55E18" w14:textId="77777777" w:rsidR="00A7068E" w:rsidRPr="00A7068E" w:rsidRDefault="00A7068E" w:rsidP="00A7068E">
      <w:pPr>
        <w:numPr>
          <w:ilvl w:val="0"/>
          <w:numId w:val="16"/>
        </w:numPr>
      </w:pPr>
      <w:r w:rsidRPr="00A7068E">
        <w:t>B＝4ヵ月（第1欄の基準期間の月数）</w:t>
      </w:r>
    </w:p>
    <w:p w14:paraId="5E577EA2" w14:textId="77777777" w:rsidR="00A7068E" w:rsidRPr="00A7068E" w:rsidRDefault="00A7068E" w:rsidP="00A7068E">
      <w:pPr>
        <w:numPr>
          <w:ilvl w:val="0"/>
          <w:numId w:val="16"/>
        </w:numPr>
      </w:pPr>
      <w:r w:rsidRPr="00A7068E">
        <w:t>C = 2ヶ月（コラム2）</w:t>
      </w:r>
    </w:p>
    <w:p w14:paraId="5DA1E45E" w14:textId="77777777" w:rsidR="00A7068E" w:rsidRPr="00A7068E" w:rsidRDefault="00A7068E" w:rsidP="00A7068E">
      <w:pPr>
        <w:numPr>
          <w:ilvl w:val="0"/>
          <w:numId w:val="16"/>
        </w:numPr>
      </w:pPr>
      <w:r w:rsidRPr="00A7068E">
        <w:t>安全在庫に入れる数量＝（A/B）×C</w:t>
      </w:r>
    </w:p>
    <w:p w14:paraId="26C2C9FC" w14:textId="77777777" w:rsidR="00A7068E" w:rsidRPr="00A7068E" w:rsidRDefault="00A7068E" w:rsidP="00A7068E">
      <w:pPr>
        <w:numPr>
          <w:ilvl w:val="0"/>
          <w:numId w:val="16"/>
        </w:numPr>
      </w:pPr>
      <w:r w:rsidRPr="00A7068E">
        <w:t>= (12,000個/4ヶ月)×2ヶ月</w:t>
      </w:r>
    </w:p>
    <w:p w14:paraId="19CB883D" w14:textId="77777777" w:rsidR="00A7068E" w:rsidRDefault="00A7068E" w:rsidP="00A7068E">
      <w:pPr>
        <w:numPr>
          <w:ilvl w:val="0"/>
          <w:numId w:val="16"/>
        </w:numPr>
      </w:pPr>
      <w:r w:rsidRPr="00A7068E">
        <w:t>= 安全在庫として6,000ユニットを保有しなければならない。</w:t>
      </w:r>
    </w:p>
    <w:p w14:paraId="71BABCF7" w14:textId="77777777" w:rsidR="00BF340B" w:rsidRPr="00A7068E" w:rsidRDefault="00BF340B" w:rsidP="00BF340B">
      <w:pPr>
        <w:ind w:left="720"/>
        <w:rPr>
          <w:rFonts w:hint="eastAsia"/>
        </w:rPr>
      </w:pPr>
    </w:p>
    <w:p w14:paraId="30364EC6" w14:textId="77777777" w:rsidR="00A7068E" w:rsidRPr="00A7068E" w:rsidRDefault="00A7068E" w:rsidP="00A7068E">
      <w:r w:rsidRPr="00A7068E">
        <w:t>パート2のビジュアル例を表2に示す。</w:t>
      </w:r>
    </w:p>
    <w:tbl>
      <w:tblPr>
        <w:tblW w:w="5000" w:type="pct"/>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417"/>
        <w:gridCol w:w="1417"/>
        <w:gridCol w:w="1418"/>
        <w:gridCol w:w="1417"/>
        <w:gridCol w:w="1417"/>
        <w:gridCol w:w="1418"/>
      </w:tblGrid>
      <w:tr w:rsidR="00A7068E" w:rsidRPr="00A7068E" w14:paraId="6A9468C4" w14:textId="77777777" w:rsidTr="005552BB">
        <w:trPr>
          <w:tblHeader/>
        </w:trPr>
        <w:tc>
          <w:tcPr>
            <w:tcW w:w="5000" w:type="pct"/>
            <w:gridSpan w:val="6"/>
            <w:tcBorders>
              <w:top w:val="nil"/>
              <w:left w:val="nil"/>
              <w:bottom w:val="nil"/>
              <w:right w:val="nil"/>
            </w:tcBorders>
            <w:shd w:val="clear" w:color="auto" w:fill="F0F0F0"/>
            <w:tcMar>
              <w:top w:w="120" w:type="dxa"/>
              <w:left w:w="120" w:type="dxa"/>
              <w:bottom w:w="120" w:type="dxa"/>
              <w:right w:w="120" w:type="dxa"/>
            </w:tcMar>
            <w:vAlign w:val="center"/>
            <w:hideMark/>
          </w:tcPr>
          <w:p w14:paraId="2E78C7C4" w14:textId="77777777" w:rsidR="00A7068E" w:rsidRPr="00A7068E" w:rsidRDefault="00A7068E" w:rsidP="00A7068E">
            <w:pPr>
              <w:rPr>
                <w:b/>
                <w:bCs/>
              </w:rPr>
            </w:pPr>
            <w:r w:rsidRPr="00A7068E">
              <w:rPr>
                <w:b/>
                <w:bCs/>
              </w:rPr>
              <w:t>表2：安全在庫リストのパート2のビジュアル例</w:t>
            </w:r>
          </w:p>
        </w:tc>
      </w:tr>
      <w:tr w:rsidR="00A7068E" w:rsidRPr="00A7068E" w14:paraId="1902C850" w14:textId="77777777" w:rsidTr="005552BB">
        <w:trPr>
          <w:tblHeader/>
        </w:trPr>
        <w:tc>
          <w:tcPr>
            <w:tcW w:w="5000" w:type="pct"/>
            <w:gridSpan w:val="6"/>
            <w:tcBorders>
              <w:top w:val="nil"/>
              <w:left w:val="single" w:sz="6" w:space="0" w:color="DDDDDD"/>
              <w:bottom w:val="single" w:sz="12" w:space="0" w:color="DDDDDD"/>
              <w:right w:val="single" w:sz="6" w:space="0" w:color="DDDDDD"/>
            </w:tcBorders>
            <w:shd w:val="clear" w:color="auto" w:fill="F0F0F0"/>
            <w:tcMar>
              <w:top w:w="120" w:type="dxa"/>
              <w:left w:w="120" w:type="dxa"/>
              <w:bottom w:w="120" w:type="dxa"/>
              <w:right w:w="120" w:type="dxa"/>
            </w:tcMar>
            <w:vAlign w:val="bottom"/>
            <w:hideMark/>
          </w:tcPr>
          <w:p w14:paraId="5A841ABE" w14:textId="77777777" w:rsidR="00A7068E" w:rsidRPr="00A7068E" w:rsidRDefault="00A7068E" w:rsidP="00A7068E">
            <w:pPr>
              <w:rPr>
                <w:b/>
                <w:bCs/>
              </w:rPr>
            </w:pPr>
            <w:r w:rsidRPr="00A7068E">
              <w:rPr>
                <w:b/>
                <w:bCs/>
              </w:rPr>
              <w:t>パート2：必要な安全在庫量を計算するためのさまざまな変数が必要な医薬品</w:t>
            </w:r>
          </w:p>
        </w:tc>
      </w:tr>
      <w:tr w:rsidR="005552BB" w:rsidRPr="00A7068E" w14:paraId="395FD459" w14:textId="77777777" w:rsidTr="005552BB">
        <w:trPr>
          <w:tblHeader/>
        </w:trPr>
        <w:tc>
          <w:tcPr>
            <w:tcW w:w="833" w:type="pct"/>
            <w:tcBorders>
              <w:top w:val="single" w:sz="6" w:space="0" w:color="DDDDDD"/>
              <w:left w:val="single" w:sz="6" w:space="0" w:color="DDDDDD"/>
              <w:bottom w:val="single" w:sz="12" w:space="0" w:color="DDDDDD"/>
              <w:right w:val="single" w:sz="6" w:space="0" w:color="DDDDDD"/>
            </w:tcBorders>
            <w:shd w:val="clear" w:color="auto" w:fill="F0F0F0"/>
            <w:tcMar>
              <w:top w:w="120" w:type="dxa"/>
              <w:left w:w="120" w:type="dxa"/>
              <w:bottom w:w="120" w:type="dxa"/>
              <w:right w:w="120" w:type="dxa"/>
            </w:tcMar>
            <w:vAlign w:val="bottom"/>
            <w:hideMark/>
          </w:tcPr>
          <w:p w14:paraId="1ACB5E03" w14:textId="77777777" w:rsidR="00A7068E" w:rsidRPr="00A7068E" w:rsidRDefault="00A7068E" w:rsidP="00A7068E">
            <w:pPr>
              <w:rPr>
                <w:b/>
                <w:bCs/>
              </w:rPr>
            </w:pPr>
            <w:r w:rsidRPr="00A7068E">
              <w:rPr>
                <w:b/>
                <w:bCs/>
              </w:rPr>
              <w:t>コラム1</w:t>
            </w:r>
          </w:p>
          <w:p w14:paraId="06E24E5E" w14:textId="77777777" w:rsidR="00A7068E" w:rsidRPr="00A7068E" w:rsidRDefault="00A7068E" w:rsidP="00A7068E">
            <w:pPr>
              <w:rPr>
                <w:b/>
                <w:bCs/>
              </w:rPr>
            </w:pPr>
            <w:r w:rsidRPr="00A7068E">
              <w:rPr>
                <w:b/>
                <w:bCs/>
              </w:rPr>
              <w:t>新基準期間（月数）</w:t>
            </w:r>
          </w:p>
        </w:tc>
        <w:tc>
          <w:tcPr>
            <w:tcW w:w="833" w:type="pct"/>
            <w:tcBorders>
              <w:top w:val="single" w:sz="6" w:space="0" w:color="DDDDDD"/>
              <w:left w:val="single" w:sz="6" w:space="0" w:color="DDDDDD"/>
              <w:bottom w:val="single" w:sz="12" w:space="0" w:color="DDDDDD"/>
              <w:right w:val="single" w:sz="6" w:space="0" w:color="DDDDDD"/>
            </w:tcBorders>
            <w:shd w:val="clear" w:color="auto" w:fill="F0F0F0"/>
            <w:tcMar>
              <w:top w:w="120" w:type="dxa"/>
              <w:left w:w="120" w:type="dxa"/>
              <w:bottom w:w="120" w:type="dxa"/>
              <w:right w:w="120" w:type="dxa"/>
            </w:tcMar>
            <w:vAlign w:val="bottom"/>
            <w:hideMark/>
          </w:tcPr>
          <w:p w14:paraId="32E5253F" w14:textId="77777777" w:rsidR="00A7068E" w:rsidRPr="00A7068E" w:rsidRDefault="00A7068E" w:rsidP="00A7068E">
            <w:pPr>
              <w:rPr>
                <w:b/>
                <w:bCs/>
              </w:rPr>
            </w:pPr>
            <w:r w:rsidRPr="00A7068E">
              <w:rPr>
                <w:b/>
                <w:bCs/>
              </w:rPr>
              <w:t>コラム2</w:t>
            </w:r>
          </w:p>
          <w:p w14:paraId="1BD2A51A" w14:textId="77777777" w:rsidR="00A7068E" w:rsidRPr="00A7068E" w:rsidRDefault="00A7068E" w:rsidP="00A7068E">
            <w:pPr>
              <w:rPr>
                <w:b/>
                <w:bCs/>
              </w:rPr>
            </w:pPr>
            <w:r w:rsidRPr="00A7068E">
              <w:rPr>
                <w:b/>
                <w:bCs/>
              </w:rPr>
              <w:t>総保有月数</w:t>
            </w:r>
          </w:p>
        </w:tc>
        <w:tc>
          <w:tcPr>
            <w:tcW w:w="834" w:type="pct"/>
            <w:tcBorders>
              <w:top w:val="single" w:sz="6" w:space="0" w:color="DDDDDD"/>
              <w:left w:val="single" w:sz="6" w:space="0" w:color="DDDDDD"/>
              <w:bottom w:val="single" w:sz="12" w:space="0" w:color="DDDDDD"/>
              <w:right w:val="single" w:sz="6" w:space="0" w:color="DDDDDD"/>
            </w:tcBorders>
            <w:shd w:val="clear" w:color="auto" w:fill="F0F0F0"/>
            <w:tcMar>
              <w:top w:w="120" w:type="dxa"/>
              <w:left w:w="120" w:type="dxa"/>
              <w:bottom w:w="120" w:type="dxa"/>
              <w:right w:w="120" w:type="dxa"/>
            </w:tcMar>
            <w:vAlign w:val="bottom"/>
            <w:hideMark/>
          </w:tcPr>
          <w:p w14:paraId="7B14874C" w14:textId="77777777" w:rsidR="00A7068E" w:rsidRPr="00A7068E" w:rsidRDefault="00A7068E" w:rsidP="00A7068E">
            <w:pPr>
              <w:rPr>
                <w:b/>
                <w:bCs/>
              </w:rPr>
            </w:pPr>
            <w:r w:rsidRPr="00A7068E">
              <w:rPr>
                <w:b/>
                <w:bCs/>
              </w:rPr>
              <w:t>医薬品識別番号</w:t>
            </w:r>
          </w:p>
        </w:tc>
        <w:tc>
          <w:tcPr>
            <w:tcW w:w="833" w:type="pct"/>
            <w:tcBorders>
              <w:top w:val="single" w:sz="6" w:space="0" w:color="DDDDDD"/>
              <w:left w:val="single" w:sz="6" w:space="0" w:color="DDDDDD"/>
              <w:bottom w:val="single" w:sz="12" w:space="0" w:color="DDDDDD"/>
              <w:right w:val="single" w:sz="6" w:space="0" w:color="DDDDDD"/>
            </w:tcBorders>
            <w:shd w:val="clear" w:color="auto" w:fill="F0F0F0"/>
            <w:tcMar>
              <w:top w:w="120" w:type="dxa"/>
              <w:left w:w="120" w:type="dxa"/>
              <w:bottom w:w="120" w:type="dxa"/>
              <w:right w:w="120" w:type="dxa"/>
            </w:tcMar>
            <w:vAlign w:val="bottom"/>
            <w:hideMark/>
          </w:tcPr>
          <w:p w14:paraId="5D9758EE" w14:textId="77777777" w:rsidR="00A7068E" w:rsidRPr="00A7068E" w:rsidRDefault="00A7068E" w:rsidP="00A7068E">
            <w:pPr>
              <w:rPr>
                <w:b/>
                <w:bCs/>
              </w:rPr>
            </w:pPr>
            <w:r w:rsidRPr="00A7068E">
              <w:rPr>
                <w:b/>
                <w:bCs/>
              </w:rPr>
              <w:t>医薬品名、医薬品成分名</w:t>
            </w:r>
          </w:p>
        </w:tc>
        <w:tc>
          <w:tcPr>
            <w:tcW w:w="833" w:type="pct"/>
            <w:tcBorders>
              <w:top w:val="single" w:sz="6" w:space="0" w:color="DDDDDD"/>
              <w:left w:val="single" w:sz="6" w:space="0" w:color="DDDDDD"/>
              <w:bottom w:val="single" w:sz="12" w:space="0" w:color="DDDDDD"/>
              <w:right w:val="single" w:sz="6" w:space="0" w:color="DDDDDD"/>
            </w:tcBorders>
            <w:shd w:val="clear" w:color="auto" w:fill="F0F0F0"/>
            <w:tcMar>
              <w:top w:w="120" w:type="dxa"/>
              <w:left w:w="120" w:type="dxa"/>
              <w:bottom w:w="120" w:type="dxa"/>
              <w:right w:w="120" w:type="dxa"/>
            </w:tcMar>
            <w:vAlign w:val="bottom"/>
            <w:hideMark/>
          </w:tcPr>
          <w:p w14:paraId="123B9913" w14:textId="77777777" w:rsidR="00A7068E" w:rsidRPr="00A7068E" w:rsidRDefault="00A7068E" w:rsidP="00A7068E">
            <w:pPr>
              <w:rPr>
                <w:b/>
                <w:bCs/>
              </w:rPr>
            </w:pPr>
            <w:r w:rsidRPr="00A7068E">
              <w:rPr>
                <w:b/>
                <w:bCs/>
              </w:rPr>
              <w:t>メーカー名</w:t>
            </w:r>
          </w:p>
        </w:tc>
        <w:tc>
          <w:tcPr>
            <w:tcW w:w="834" w:type="pct"/>
            <w:tcBorders>
              <w:top w:val="single" w:sz="6" w:space="0" w:color="DDDDDD"/>
              <w:left w:val="single" w:sz="6" w:space="0" w:color="DDDDDD"/>
              <w:bottom w:val="single" w:sz="12" w:space="0" w:color="DDDDDD"/>
              <w:right w:val="single" w:sz="6" w:space="0" w:color="DDDDDD"/>
            </w:tcBorders>
            <w:shd w:val="clear" w:color="auto" w:fill="F0F0F0"/>
            <w:tcMar>
              <w:top w:w="120" w:type="dxa"/>
              <w:left w:w="120" w:type="dxa"/>
              <w:bottom w:w="120" w:type="dxa"/>
              <w:right w:w="120" w:type="dxa"/>
            </w:tcMar>
            <w:vAlign w:val="bottom"/>
            <w:hideMark/>
          </w:tcPr>
          <w:p w14:paraId="136C35FD" w14:textId="77777777" w:rsidR="00A7068E" w:rsidRPr="00A7068E" w:rsidRDefault="00A7068E" w:rsidP="00A7068E">
            <w:pPr>
              <w:rPr>
                <w:b/>
                <w:bCs/>
              </w:rPr>
            </w:pPr>
            <w:r w:rsidRPr="00A7068E">
              <w:rPr>
                <w:b/>
                <w:bCs/>
              </w:rPr>
              <w:t>剤形、強さ、投与経路</w:t>
            </w:r>
          </w:p>
        </w:tc>
      </w:tr>
      <w:tr w:rsidR="00A7068E" w:rsidRPr="00A7068E" w14:paraId="66B974D4" w14:textId="77777777" w:rsidTr="005552BB">
        <w:tc>
          <w:tcPr>
            <w:tcW w:w="833"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C621EF8" w14:textId="77777777" w:rsidR="00A7068E" w:rsidRPr="00A7068E" w:rsidRDefault="00A7068E" w:rsidP="00A7068E">
            <w:r w:rsidRPr="00A7068E">
              <w:t>2024年4月～7月</w:t>
            </w:r>
          </w:p>
        </w:tc>
        <w:tc>
          <w:tcPr>
            <w:tcW w:w="833"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B4AD241" w14:textId="77777777" w:rsidR="00A7068E" w:rsidRPr="00A7068E" w:rsidRDefault="00A7068E" w:rsidP="00A7068E">
            <w:r w:rsidRPr="00A7068E">
              <w:t>2</w:t>
            </w:r>
          </w:p>
        </w:tc>
        <w:tc>
          <w:tcPr>
            <w:tcW w:w="83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070F05E" w14:textId="77777777" w:rsidR="00A7068E" w:rsidRPr="00A7068E" w:rsidRDefault="00A7068E" w:rsidP="00A7068E">
            <w:r w:rsidRPr="00A7068E">
              <w:t>07654321</w:t>
            </w:r>
          </w:p>
        </w:tc>
        <w:tc>
          <w:tcPr>
            <w:tcW w:w="833"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7C1F713" w14:textId="77777777" w:rsidR="00A7068E" w:rsidRPr="00A7068E" w:rsidRDefault="00A7068E" w:rsidP="00A7068E">
            <w:r w:rsidRPr="00A7068E">
              <w:t>医薬品A</w:t>
            </w:r>
          </w:p>
        </w:tc>
        <w:tc>
          <w:tcPr>
            <w:tcW w:w="833"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7308532" w14:textId="77777777" w:rsidR="00A7068E" w:rsidRPr="00A7068E" w:rsidRDefault="00A7068E" w:rsidP="00A7068E">
            <w:r w:rsidRPr="00A7068E">
              <w:t>医薬品A社</w:t>
            </w:r>
          </w:p>
        </w:tc>
        <w:tc>
          <w:tcPr>
            <w:tcW w:w="83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B729B38" w14:textId="77777777" w:rsidR="00A7068E" w:rsidRPr="00A7068E" w:rsidRDefault="00A7068E" w:rsidP="00A7068E">
            <w:r w:rsidRPr="00A7068E">
              <w:t>錠剤、80mg、経口</w:t>
            </w:r>
          </w:p>
        </w:tc>
      </w:tr>
    </w:tbl>
    <w:p w14:paraId="73C3DFC6" w14:textId="77777777" w:rsidR="00A7068E" w:rsidRDefault="00A7068E" w:rsidP="00A7068E">
      <w:r w:rsidRPr="00A7068E">
        <w:t>注：医薬品が安全性在庫リストに追加される際、カナダ保健省は安全性在庫リスト第2部の1列目と2列目の値を決定する。 この値は、利害関係者による協議プロセスの一環として修正される可能性があります。 MAHは、協議が行われた後に医薬品に関する情報や医薬品に対する需要が変化した場合、適切な基準期間と在庫量の決定を裏付ける情報をカナダ保健省に提出することができる。</w:t>
      </w:r>
    </w:p>
    <w:p w14:paraId="4FFD6019" w14:textId="77777777" w:rsidR="00BF340B" w:rsidRPr="00A7068E" w:rsidRDefault="00BF340B" w:rsidP="00A7068E">
      <w:pPr>
        <w:rPr>
          <w:rFonts w:hint="eastAsia"/>
        </w:rPr>
      </w:pPr>
    </w:p>
    <w:p w14:paraId="3C6CAB50" w14:textId="77777777" w:rsidR="00A7068E" w:rsidRPr="00A7068E" w:rsidRDefault="00A7068E" w:rsidP="00A7068E">
      <w:pPr>
        <w:rPr>
          <w:b/>
          <w:bCs/>
        </w:rPr>
      </w:pPr>
      <w:r w:rsidRPr="00A7068E">
        <w:rPr>
          <w:b/>
          <w:bCs/>
        </w:rPr>
        <w:t>安全在庫の使用</w:t>
      </w:r>
    </w:p>
    <w:p w14:paraId="2FF4E39F" w14:textId="77777777" w:rsidR="00A7068E" w:rsidRPr="00A7068E" w:rsidRDefault="00A7068E" w:rsidP="00A7068E">
      <w:r w:rsidRPr="00A7068E">
        <w:t>MAHは、安全在庫を使用せずに需要を満たすことが期待されている。 安全在庫を回転させる場合、古い在庫が販売される前に新しい在庫が入手できなければならない。 安全在庫はバッファー供給とみなされ、実際に不足しているか、不足が予想される場合にのみ使用することができる。</w:t>
      </w:r>
    </w:p>
    <w:p w14:paraId="60CD1025" w14:textId="77777777" w:rsidR="00A7068E" w:rsidRPr="00A7068E" w:rsidRDefault="00A7068E" w:rsidP="00A7068E">
      <w:r w:rsidRPr="00A7068E">
        <w:lastRenderedPageBreak/>
        <w:t>実際の欠品または予想される欠品が報告されると、MAHは欠品を防止または緩和するために安全在庫を使用することができる。 企業は、該当するすべての欠品について、安全在庫の使用と利用可能性に関するコメントを報告書に記載することを推奨する。</w:t>
      </w:r>
    </w:p>
    <w:p w14:paraId="35F13CED" w14:textId="1155E355" w:rsidR="00A7068E" w:rsidRPr="00A7068E" w:rsidRDefault="00A7068E" w:rsidP="00A7068E">
      <w:r w:rsidRPr="00A7068E">
        <w:t>すべての実際の欠品および予想される欠品は、</w:t>
      </w:r>
      <w:r w:rsidRPr="00A7068E">
        <w:fldChar w:fldCharType="begin"/>
      </w:r>
      <w:r w:rsidRPr="00A7068E">
        <w:instrText>HYPERLINK "https://www.drugshortagescanada.ca/"</w:instrText>
      </w:r>
      <w:r w:rsidRPr="00A7068E">
        <w:fldChar w:fldCharType="separate"/>
      </w:r>
      <w:r w:rsidRPr="00A7068E">
        <w:rPr>
          <w:rStyle w:val="a5"/>
        </w:rPr>
        <w:t>Drug Shortages Canada</w:t>
      </w:r>
      <w:r w:rsidRPr="00A7068E">
        <w:fldChar w:fldCharType="end"/>
      </w:r>
      <w:r w:rsidRPr="00A7068E">
        <w:t>で報告されなければならない。 安全在庫を使用する前に、医薬品の実際の不足または予想される不足がなければな</w:t>
      </w:r>
      <w:r w:rsidR="005552BB">
        <w:rPr>
          <w:rFonts w:hint="eastAsia"/>
        </w:rPr>
        <w:t>らない</w:t>
      </w:r>
      <w:r w:rsidRPr="00A7068E">
        <w:t>。</w:t>
      </w:r>
    </w:p>
    <w:p w14:paraId="02BB0FA4" w14:textId="77777777" w:rsidR="00A7068E" w:rsidRPr="00A7068E" w:rsidRDefault="00A7068E" w:rsidP="00A7068E">
      <w:r w:rsidRPr="00A7068E">
        <w:t>欠品報告の詳細については、以下を参照のこと：</w:t>
      </w:r>
    </w:p>
    <w:p w14:paraId="5D53BB40" w14:textId="77777777" w:rsidR="00A7068E" w:rsidRPr="00A7068E" w:rsidRDefault="00A7068E" w:rsidP="00A7068E">
      <w:pPr>
        <w:numPr>
          <w:ilvl w:val="0"/>
          <w:numId w:val="17"/>
        </w:numPr>
      </w:pPr>
      <w:hyperlink r:id="rId10" w:history="1">
        <w:r w:rsidRPr="00A7068E">
          <w:rPr>
            <w:rStyle w:val="a5"/>
          </w:rPr>
          <w:t>コンサルテーション用ドラフト： 医薬品供給不足と製造中止の報告の手引き（GUI-0120）</w:t>
        </w:r>
      </w:hyperlink>
    </w:p>
    <w:p w14:paraId="70437AB0" w14:textId="77777777" w:rsidR="00A7068E" w:rsidRDefault="00A7068E" w:rsidP="00A7068E">
      <w:r w:rsidRPr="00A7068E">
        <w:t>MAHが安全在庫を使用せずに需要を満たすことができるようになったら、欠品報告は「解決済み」と記されるべきです。 安全在庫は可能な限り速やかに完全に補充されなければならない。</w:t>
      </w:r>
    </w:p>
    <w:p w14:paraId="675DC776" w14:textId="77777777" w:rsidR="00BF340B" w:rsidRPr="00A7068E" w:rsidRDefault="00BF340B" w:rsidP="00A7068E">
      <w:pPr>
        <w:rPr>
          <w:rFonts w:hint="eastAsia"/>
        </w:rPr>
      </w:pPr>
    </w:p>
    <w:p w14:paraId="67C6AD1E" w14:textId="77777777" w:rsidR="00A7068E" w:rsidRPr="00A7068E" w:rsidRDefault="00A7068E" w:rsidP="00A7068E">
      <w:pPr>
        <w:rPr>
          <w:b/>
          <w:bCs/>
        </w:rPr>
      </w:pPr>
      <w:r w:rsidRPr="00A7068E">
        <w:rPr>
          <w:b/>
          <w:bCs/>
        </w:rPr>
        <w:t>カナダ保健省への安全在庫情報の提供</w:t>
      </w:r>
    </w:p>
    <w:p w14:paraId="4BEC496A" w14:textId="77777777" w:rsidR="00A7068E" w:rsidRPr="00A7068E" w:rsidRDefault="00A7068E" w:rsidP="00A7068E">
      <w:pPr>
        <w:rPr>
          <w:b/>
          <w:bCs/>
        </w:rPr>
      </w:pPr>
      <w:r w:rsidRPr="00A7068E">
        <w:rPr>
          <w:b/>
          <w:bCs/>
        </w:rPr>
        <w:t>記録保持の要件</w:t>
      </w:r>
    </w:p>
    <w:p w14:paraId="42C94877" w14:textId="77777777" w:rsidR="00A7068E" w:rsidRPr="00A7068E" w:rsidRDefault="00A7068E" w:rsidP="00A7068E">
      <w:r w:rsidRPr="00A7068E">
        <w:t>安全在庫リストのパート1またはパート2に掲載されている医薬品のMAHは、年間記録を保持することが義務付けられています。 この記録には、前年の各月の以下の情報が含まれていなければならない：</w:t>
      </w:r>
    </w:p>
    <w:p w14:paraId="3EEDD8B8" w14:textId="77777777" w:rsidR="00A7068E" w:rsidRPr="00A7068E" w:rsidRDefault="00A7068E" w:rsidP="00A7068E">
      <w:pPr>
        <w:numPr>
          <w:ilvl w:val="0"/>
          <w:numId w:val="18"/>
        </w:numPr>
      </w:pPr>
      <w:r w:rsidRPr="00A7068E">
        <w:t>安全在庫が保管されていた各建物の住所と各建物での保管量</w:t>
      </w:r>
    </w:p>
    <w:p w14:paraId="459FDC5E" w14:textId="77777777" w:rsidR="00A7068E" w:rsidRPr="00A7068E" w:rsidRDefault="00A7068E" w:rsidP="00A7068E">
      <w:pPr>
        <w:numPr>
          <w:ilvl w:val="0"/>
          <w:numId w:val="18"/>
        </w:numPr>
      </w:pPr>
      <w:r w:rsidRPr="00A7068E">
        <w:t>安全在庫の医薬品量がどのように計算されたかを示す情報</w:t>
      </w:r>
    </w:p>
    <w:p w14:paraId="20D5CD9A" w14:textId="1D7DA667" w:rsidR="00A7068E" w:rsidRPr="00A7068E" w:rsidRDefault="00A7068E" w:rsidP="00A7068E">
      <w:pPr>
        <w:numPr>
          <w:ilvl w:val="0"/>
          <w:numId w:val="18"/>
        </w:numPr>
      </w:pPr>
      <w:r w:rsidRPr="00A7068E">
        <w:t>安全在庫がMAHによって保管されているのか、MAHに代わって他の医薬品施設使用許可（DEL）保持者によって保管されているのかを示す情報</w:t>
      </w:r>
    </w:p>
    <w:p w14:paraId="453D636A" w14:textId="77777777" w:rsidR="00A7068E" w:rsidRPr="00A7068E" w:rsidRDefault="00A7068E" w:rsidP="00A7068E">
      <w:r w:rsidRPr="00A7068E">
        <w:t>MAHは、すべての記録を作成日から少なくとも3年間保存しなければならない。</w:t>
      </w:r>
    </w:p>
    <w:p w14:paraId="5F1BA482" w14:textId="77777777" w:rsidR="00A7068E" w:rsidRPr="00A7068E" w:rsidRDefault="00A7068E" w:rsidP="00A7068E">
      <w:r w:rsidRPr="00A7068E">
        <w:t>FDRの段落C.01.014.81(1)(d)に従い、MAHはまた、該当する場合、安全在庫要件をどのように遵守しているかの詳細な説明を含む不足防止・緩和計画(SPMP)を策定し、維持しなければならない。</w:t>
      </w:r>
    </w:p>
    <w:p w14:paraId="4283089C" w14:textId="2076C919" w:rsidR="00A7068E" w:rsidRPr="00A7068E" w:rsidRDefault="00A7068E" w:rsidP="00A7068E">
      <w:r w:rsidRPr="00A7068E">
        <w:t>供給不足の予防・緩和計画に盛り込むべき事項の詳細については、</w:t>
      </w:r>
      <w:r w:rsidR="0064193E">
        <w:rPr>
          <w:rFonts w:hint="eastAsia"/>
        </w:rPr>
        <w:t>以下</w:t>
      </w:r>
      <w:r w:rsidRPr="00A7068E">
        <w:t>を参照：</w:t>
      </w:r>
    </w:p>
    <w:p w14:paraId="37EE2C67" w14:textId="77777777" w:rsidR="00A7068E" w:rsidRDefault="00A7068E" w:rsidP="00A7068E">
      <w:pPr>
        <w:numPr>
          <w:ilvl w:val="0"/>
          <w:numId w:val="19"/>
        </w:numPr>
      </w:pPr>
      <w:hyperlink r:id="rId11" w:history="1">
        <w:r w:rsidRPr="00A7068E">
          <w:rPr>
            <w:rStyle w:val="a5"/>
          </w:rPr>
          <w:t>協議用草案： 不足の防止と緩和計画に関する手引き</w:t>
        </w:r>
      </w:hyperlink>
      <w:r w:rsidRPr="00A7068E">
        <w:t>。</w:t>
      </w:r>
    </w:p>
    <w:p w14:paraId="5D995A4B" w14:textId="77777777" w:rsidR="00BF340B" w:rsidRPr="00BF340B" w:rsidRDefault="00BF340B" w:rsidP="00BF340B">
      <w:pPr>
        <w:ind w:left="720"/>
        <w:rPr>
          <w:rFonts w:hint="eastAsia"/>
          <w:sz w:val="24"/>
          <w:szCs w:val="28"/>
        </w:rPr>
      </w:pPr>
    </w:p>
    <w:p w14:paraId="472A3C31" w14:textId="77777777" w:rsidR="00A7068E" w:rsidRPr="00BF340B" w:rsidRDefault="00A7068E" w:rsidP="00A7068E">
      <w:pPr>
        <w:rPr>
          <w:b/>
          <w:bCs/>
          <w:sz w:val="24"/>
          <w:szCs w:val="28"/>
        </w:rPr>
      </w:pPr>
      <w:r w:rsidRPr="00BF340B">
        <w:rPr>
          <w:b/>
          <w:bCs/>
          <w:sz w:val="24"/>
          <w:szCs w:val="28"/>
        </w:rPr>
        <w:t>定義</w:t>
      </w:r>
    </w:p>
    <w:p w14:paraId="3A53F64C" w14:textId="748241CB" w:rsidR="00A7068E" w:rsidRPr="00A7068E" w:rsidRDefault="00A7068E" w:rsidP="00A7068E">
      <w:pPr>
        <w:rPr>
          <w:b/>
          <w:bCs/>
        </w:rPr>
      </w:pPr>
      <w:r w:rsidRPr="00A7068E">
        <w:rPr>
          <w:b/>
          <w:bCs/>
        </w:rPr>
        <w:t>医薬品施設許可証（</w:t>
      </w:r>
      <w:r w:rsidR="0064193E" w:rsidRPr="0064193E">
        <w:rPr>
          <w:b/>
          <w:bCs/>
        </w:rPr>
        <w:t xml:space="preserve">Drug establishment </w:t>
      </w:r>
      <w:proofErr w:type="spellStart"/>
      <w:r w:rsidR="0064193E" w:rsidRPr="0064193E">
        <w:rPr>
          <w:b/>
          <w:bCs/>
        </w:rPr>
        <w:t>licence</w:t>
      </w:r>
      <w:proofErr w:type="spellEnd"/>
      <w:r w:rsidR="0064193E">
        <w:rPr>
          <w:rFonts w:hint="eastAsia"/>
          <w:b/>
          <w:bCs/>
        </w:rPr>
        <w:t>：</w:t>
      </w:r>
      <w:r w:rsidRPr="00A7068E">
        <w:rPr>
          <w:b/>
          <w:bCs/>
        </w:rPr>
        <w:t>DEL）：</w:t>
      </w:r>
    </w:p>
    <w:p w14:paraId="421C9AED" w14:textId="77777777" w:rsidR="00A7068E" w:rsidRPr="00A7068E" w:rsidRDefault="00A7068E" w:rsidP="00A7068E">
      <w:r w:rsidRPr="00A7068E">
        <w:t>カナダにおいて、FDR の第 1A 部門に従い、FDR の第 2～4 部門の要件に適合していると検査・評 価された建物で免許可能な活動を行う者に対して発行される免許。</w:t>
      </w:r>
    </w:p>
    <w:p w14:paraId="5E703D5A" w14:textId="77777777" w:rsidR="00A7068E" w:rsidRPr="00A7068E" w:rsidRDefault="00A7068E" w:rsidP="00A7068E">
      <w:pPr>
        <w:rPr>
          <w:b/>
          <w:bCs/>
        </w:rPr>
      </w:pPr>
      <w:r w:rsidRPr="00A7068E">
        <w:rPr>
          <w:b/>
          <w:bCs/>
        </w:rPr>
        <w:t>医薬品識別番号（Drug Identification Number：DIN）：</w:t>
      </w:r>
    </w:p>
    <w:p w14:paraId="12EE9BEF" w14:textId="77777777" w:rsidR="00A7068E" w:rsidRPr="00A7068E" w:rsidRDefault="00A7068E" w:rsidP="00A7068E">
      <w:r w:rsidRPr="00A7068E">
        <w:lastRenderedPageBreak/>
        <w:t>FDRのサブセクションC.01.014.2(1)に基づき、上市承認時にカナダ保健省が医薬品に割り当てるコンピュータ生成の8桁の番号。</w:t>
      </w:r>
    </w:p>
    <w:p w14:paraId="66E0EB6D" w14:textId="1FE401D6" w:rsidR="00A7068E" w:rsidRPr="00A7068E" w:rsidRDefault="00A7068E" w:rsidP="00A7068E">
      <w:r w:rsidRPr="00A7068E">
        <w:t>この番号は、カナダで剤形として販売される規制対象の各医薬を一意に識別する。 カナダで評価され、販売が許可された処方薬および非処方薬のパッケージラベルに記載されてい</w:t>
      </w:r>
      <w:r w:rsidR="0064193E">
        <w:rPr>
          <w:rFonts w:hint="eastAsia"/>
        </w:rPr>
        <w:t>る</w:t>
      </w:r>
      <w:r w:rsidRPr="00A7068E">
        <w:t>。</w:t>
      </w:r>
    </w:p>
    <w:p w14:paraId="5DB49900" w14:textId="3A9491B3" w:rsidR="00A7068E" w:rsidRPr="00A7068E" w:rsidRDefault="00A7068E" w:rsidP="00A7068E">
      <w:r w:rsidRPr="00A7068E">
        <w:t>DINは、以下の特徴を一意に識別</w:t>
      </w:r>
      <w:r w:rsidR="0064193E">
        <w:rPr>
          <w:rFonts w:hint="eastAsia"/>
        </w:rPr>
        <w:t>する</w:t>
      </w:r>
      <w:r w:rsidRPr="00A7068E">
        <w:t>：</w:t>
      </w:r>
    </w:p>
    <w:p w14:paraId="745E7E1F" w14:textId="77777777" w:rsidR="00A7068E" w:rsidRPr="00A7068E" w:rsidRDefault="00A7068E" w:rsidP="00A7068E">
      <w:pPr>
        <w:numPr>
          <w:ilvl w:val="0"/>
          <w:numId w:val="20"/>
        </w:numPr>
      </w:pPr>
      <w:r w:rsidRPr="00A7068E">
        <w:t>製品名</w:t>
      </w:r>
    </w:p>
    <w:p w14:paraId="68196565" w14:textId="77777777" w:rsidR="00A7068E" w:rsidRPr="00A7068E" w:rsidRDefault="00A7068E" w:rsidP="00A7068E">
      <w:pPr>
        <w:numPr>
          <w:ilvl w:val="0"/>
          <w:numId w:val="20"/>
        </w:numPr>
      </w:pPr>
      <w:r w:rsidRPr="00A7068E">
        <w:t>メーカー名</w:t>
      </w:r>
    </w:p>
    <w:p w14:paraId="3153B087" w14:textId="77777777" w:rsidR="00A7068E" w:rsidRPr="00A7068E" w:rsidRDefault="00A7068E" w:rsidP="00A7068E">
      <w:pPr>
        <w:numPr>
          <w:ilvl w:val="0"/>
          <w:numId w:val="20"/>
        </w:numPr>
      </w:pPr>
      <w:r w:rsidRPr="00A7068E">
        <w:t>有効成分</w:t>
      </w:r>
    </w:p>
    <w:p w14:paraId="72A806E7" w14:textId="77777777" w:rsidR="00A7068E" w:rsidRPr="00A7068E" w:rsidRDefault="00A7068E" w:rsidP="00A7068E">
      <w:pPr>
        <w:numPr>
          <w:ilvl w:val="0"/>
          <w:numId w:val="20"/>
        </w:numPr>
      </w:pPr>
      <w:r w:rsidRPr="00A7068E">
        <w:t>有効成分の強さ</w:t>
      </w:r>
    </w:p>
    <w:p w14:paraId="331DC048" w14:textId="77777777" w:rsidR="00A7068E" w:rsidRPr="00A7068E" w:rsidRDefault="00A7068E" w:rsidP="00A7068E">
      <w:pPr>
        <w:numPr>
          <w:ilvl w:val="0"/>
          <w:numId w:val="20"/>
        </w:numPr>
      </w:pPr>
      <w:r w:rsidRPr="00A7068E">
        <w:t>剤形</w:t>
      </w:r>
    </w:p>
    <w:p w14:paraId="17666772" w14:textId="77777777" w:rsidR="00A7068E" w:rsidRPr="00A7068E" w:rsidRDefault="00A7068E" w:rsidP="00A7068E">
      <w:pPr>
        <w:numPr>
          <w:ilvl w:val="0"/>
          <w:numId w:val="20"/>
        </w:numPr>
      </w:pPr>
      <w:r w:rsidRPr="00A7068E">
        <w:t>投与経路</w:t>
      </w:r>
    </w:p>
    <w:p w14:paraId="4E9B395C" w14:textId="77777777" w:rsidR="00A7068E" w:rsidRPr="00A7068E" w:rsidRDefault="00A7068E" w:rsidP="00A7068E">
      <w:pPr>
        <w:numPr>
          <w:ilvl w:val="0"/>
          <w:numId w:val="20"/>
        </w:numPr>
      </w:pPr>
      <w:r w:rsidRPr="00A7068E">
        <w:t>動物種（動物用医薬品のみ）</w:t>
      </w:r>
    </w:p>
    <w:p w14:paraId="33F45A0F" w14:textId="77777777" w:rsidR="00A7068E" w:rsidRPr="00A7068E" w:rsidRDefault="00A7068E" w:rsidP="00A7068E">
      <w:pPr>
        <w:rPr>
          <w:b/>
          <w:bCs/>
        </w:rPr>
      </w:pPr>
      <w:r w:rsidRPr="00A7068E">
        <w:rPr>
          <w:b/>
          <w:bCs/>
        </w:rPr>
        <w:t>参照による取り込み：</w:t>
      </w:r>
    </w:p>
    <w:p w14:paraId="402FD0E8" w14:textId="77777777" w:rsidR="00A7068E" w:rsidRPr="00A7068E" w:rsidRDefault="00A7068E" w:rsidP="00A7068E">
      <w:r w:rsidRPr="00A7068E">
        <w:t>規制の本文にない文書またはリストの全部または一部を規制の一部とすることを可能にする仕組みを表す用語。 カナダ保健省は、参照による編入を以下の目的で使用する：</w:t>
      </w:r>
    </w:p>
    <w:p w14:paraId="056E3DDC" w14:textId="77777777" w:rsidR="00A7068E" w:rsidRPr="00A7068E" w:rsidRDefault="00A7068E" w:rsidP="00A7068E">
      <w:pPr>
        <w:numPr>
          <w:ilvl w:val="0"/>
          <w:numId w:val="21"/>
        </w:numPr>
      </w:pPr>
      <w:r w:rsidRPr="00A7068E">
        <w:t>政策および規制上の目的を達成する</w:t>
      </w:r>
    </w:p>
    <w:p w14:paraId="7147D1C6" w14:textId="77777777" w:rsidR="00A7068E" w:rsidRPr="00A7068E" w:rsidRDefault="00A7068E" w:rsidP="00A7068E">
      <w:pPr>
        <w:numPr>
          <w:ilvl w:val="0"/>
          <w:numId w:val="21"/>
        </w:numPr>
      </w:pPr>
      <w:r w:rsidRPr="00A7068E">
        <w:t>既存の文書を活用し</w:t>
      </w:r>
    </w:p>
    <w:p w14:paraId="6B478340" w14:textId="77777777" w:rsidR="00A7068E" w:rsidRPr="00A7068E" w:rsidRDefault="00A7068E" w:rsidP="00A7068E">
      <w:pPr>
        <w:numPr>
          <w:ilvl w:val="0"/>
          <w:numId w:val="21"/>
        </w:numPr>
      </w:pPr>
      <w:r w:rsidRPr="00A7068E">
        <w:t>科学技術の変化や、新たに発生する健康・安全上のリスクに、より迅速に対応できる機動的な規制の枠組みを維持する。</w:t>
      </w:r>
    </w:p>
    <w:p w14:paraId="318324DD" w14:textId="77777777" w:rsidR="00A7068E" w:rsidRPr="00A7068E" w:rsidRDefault="00A7068E" w:rsidP="00A7068E">
      <w:r w:rsidRPr="00A7068E">
        <w:t>参照による組み入れは、安全衛生を損なうことなく、州や地域の規制と整合させ、貿易に関する国際協力を達成するためにも利用できる。</w:t>
      </w:r>
    </w:p>
    <w:p w14:paraId="0F29FA72" w14:textId="77777777" w:rsidR="00A7068E" w:rsidRPr="00A7068E" w:rsidRDefault="00A7068E" w:rsidP="00A7068E">
      <w:pPr>
        <w:rPr>
          <w:b/>
          <w:bCs/>
        </w:rPr>
      </w:pPr>
      <w:r w:rsidRPr="00A7068E">
        <w:rPr>
          <w:b/>
          <w:bCs/>
        </w:rPr>
        <w:t>製造業者または販売業者：</w:t>
      </w:r>
    </w:p>
    <w:p w14:paraId="587997D1" w14:textId="77777777" w:rsidR="00A7068E" w:rsidRPr="00A7068E" w:rsidRDefault="00A7068E" w:rsidP="00A7068E">
      <w:r w:rsidRPr="00A7068E">
        <w:t>製造業者または販売業者：団体またはパートナーシップを含め、自己の名称、または自己が管理する商号、意匠もしくは語句、商号もしくはその他の名称、語句もしくは標章の下で食品または医薬品を販売する者。 (FDR、A.01.010)</w:t>
      </w:r>
    </w:p>
    <w:p w14:paraId="4BC213CD" w14:textId="77777777" w:rsidR="00A7068E" w:rsidRPr="00A7068E" w:rsidRDefault="00A7068E" w:rsidP="00A7068E">
      <w:pPr>
        <w:rPr>
          <w:b/>
          <w:bCs/>
        </w:rPr>
      </w:pPr>
      <w:r w:rsidRPr="00A7068E">
        <w:rPr>
          <w:b/>
          <w:bCs/>
        </w:rPr>
        <w:t>市場認可保持者（MAH）：</w:t>
      </w:r>
    </w:p>
    <w:p w14:paraId="6F7E885F" w14:textId="77777777" w:rsidR="00A7068E" w:rsidRPr="00A7068E" w:rsidRDefault="00A7068E" w:rsidP="00A7068E">
      <w:r w:rsidRPr="00A7068E">
        <w:t>製造業者または販売業者の定義を参照のこと。</w:t>
      </w:r>
    </w:p>
    <w:p w14:paraId="644289BD" w14:textId="77777777" w:rsidR="00A7068E" w:rsidRPr="00A7068E" w:rsidRDefault="00A7068E" w:rsidP="00A7068E">
      <w:pPr>
        <w:rPr>
          <w:b/>
          <w:bCs/>
        </w:rPr>
      </w:pPr>
      <w:r w:rsidRPr="00A7068E">
        <w:rPr>
          <w:b/>
          <w:bCs/>
        </w:rPr>
        <w:t>個人：</w:t>
      </w:r>
    </w:p>
    <w:p w14:paraId="67AB00C8" w14:textId="77777777" w:rsidR="00A7068E" w:rsidRPr="00A7068E" w:rsidRDefault="00A7068E" w:rsidP="00A7068E">
      <w:r w:rsidRPr="00A7068E">
        <w:t>個人：</w:t>
      </w:r>
      <w:hyperlink r:id="rId12" w:history="1">
        <w:r w:rsidRPr="00A7068E">
          <w:rPr>
            <w:rStyle w:val="a5"/>
          </w:rPr>
          <w:t>刑法</w:t>
        </w:r>
      </w:hyperlink>
      <w:r w:rsidRPr="00A7068E">
        <w:t>第2条に定義される個人または組織。</w:t>
      </w:r>
    </w:p>
    <w:p w14:paraId="2649F2CB" w14:textId="77777777" w:rsidR="00A7068E" w:rsidRPr="00A7068E" w:rsidRDefault="00A7068E" w:rsidP="00A7068E">
      <w:pPr>
        <w:rPr>
          <w:b/>
          <w:bCs/>
        </w:rPr>
      </w:pPr>
      <w:r w:rsidRPr="00A7068E">
        <w:rPr>
          <w:b/>
          <w:bCs/>
        </w:rPr>
        <w:t>不足：</w:t>
      </w:r>
    </w:p>
    <w:p w14:paraId="7DF40C11" w14:textId="77777777" w:rsidR="00A7068E" w:rsidRPr="00A7068E" w:rsidRDefault="00A7068E" w:rsidP="00A7068E">
      <w:r w:rsidRPr="00A7068E">
        <w:t>医薬品に関して、C.01.014.2(1)に基づき当該医薬品のDINを記載した文書が発行された製造者が、カナダ国内における当該医薬品の需要を満たすことができない状況（FDR, C.01.014.8 (2)）。 (カナダ医薬品局、C.01.014.8 (2))</w:t>
      </w:r>
    </w:p>
    <w:p w14:paraId="167FDC78" w14:textId="77777777" w:rsidR="00A7068E" w:rsidRPr="00A7068E" w:rsidRDefault="00A7068E" w:rsidP="00A7068E">
      <w:pPr>
        <w:rPr>
          <w:b/>
          <w:bCs/>
        </w:rPr>
      </w:pPr>
      <w:r w:rsidRPr="00A7068E">
        <w:rPr>
          <w:b/>
          <w:bCs/>
        </w:rPr>
        <w:t>欠品予防・緩和計画（SPMP）：</w:t>
      </w:r>
    </w:p>
    <w:p w14:paraId="42399779" w14:textId="77777777" w:rsidR="00A7068E" w:rsidRPr="00A7068E" w:rsidRDefault="00A7068E" w:rsidP="00A7068E">
      <w:r w:rsidRPr="00A7068E">
        <w:t>医薬品に関連する供給不足リスクを特定、評価し、防止または緩和するための措置を講じる</w:t>
      </w:r>
      <w:r w:rsidRPr="00A7068E">
        <w:lastRenderedPageBreak/>
        <w:t>ことにより、医薬品不足の発生を防止し、またはその影響を緩和することを目的とした計画。</w:t>
      </w:r>
    </w:p>
    <w:p w14:paraId="500FA793" w14:textId="77777777" w:rsidR="00AE0EB7" w:rsidRPr="00A7068E" w:rsidRDefault="00AE0EB7" w:rsidP="00AE0EB7">
      <w:bookmarkStart w:id="1" w:name="_Hlk187933261"/>
    </w:p>
    <w:bookmarkEnd w:id="0"/>
    <w:p w14:paraId="0B9D1F45" w14:textId="77777777" w:rsidR="00AF64F3" w:rsidRDefault="00AF64F3" w:rsidP="00AF64F3">
      <w:pPr>
        <w:pStyle w:val="ab"/>
        <w:ind w:leftChars="0" w:left="440"/>
      </w:pPr>
    </w:p>
    <w:p w14:paraId="0547947A" w14:textId="77777777" w:rsidR="00325B39" w:rsidRPr="00A7068E" w:rsidRDefault="00325B39" w:rsidP="00325B39">
      <w:pPr>
        <w:rPr>
          <w:b/>
          <w:bCs/>
        </w:rPr>
      </w:pPr>
      <w:r w:rsidRPr="00A7068E">
        <w:rPr>
          <w:b/>
          <w:bCs/>
        </w:rPr>
        <w:t>性・性別に基づく分析プラス（</w:t>
      </w:r>
      <w:r w:rsidRPr="00325B39">
        <w:rPr>
          <w:b/>
          <w:bCs/>
        </w:rPr>
        <w:t>Sex- and gender-based analysis plus</w:t>
      </w:r>
      <w:r>
        <w:rPr>
          <w:rFonts w:hint="eastAsia"/>
          <w:b/>
          <w:bCs/>
        </w:rPr>
        <w:t>：</w:t>
      </w:r>
      <w:r w:rsidRPr="00A7068E">
        <w:rPr>
          <w:b/>
          <w:bCs/>
        </w:rPr>
        <w:t>SGBA Plus）</w:t>
      </w:r>
      <w:r>
        <w:rPr>
          <w:rFonts w:hint="eastAsia"/>
          <w:b/>
          <w:bCs/>
        </w:rPr>
        <w:t>－</w:t>
      </w:r>
      <w:r w:rsidRPr="00A7068E">
        <w:rPr>
          <w:b/>
          <w:bCs/>
        </w:rPr>
        <w:t>公平性、多様性、</w:t>
      </w:r>
      <w:r>
        <w:rPr>
          <w:rFonts w:hint="eastAsia"/>
          <w:b/>
          <w:bCs/>
        </w:rPr>
        <w:t>包摂</w:t>
      </w:r>
      <w:r w:rsidRPr="00A7068E">
        <w:rPr>
          <w:b/>
          <w:bCs/>
        </w:rPr>
        <w:t>の推進</w:t>
      </w:r>
    </w:p>
    <w:p w14:paraId="2617B36F" w14:textId="77777777" w:rsidR="00325B39" w:rsidRPr="00A7068E" w:rsidRDefault="00325B39" w:rsidP="00325B39">
      <w:r w:rsidRPr="00A7068E">
        <w:t>カナダ保健省は、SGBA</w:t>
      </w:r>
      <w:r>
        <w:rPr>
          <w:rFonts w:hint="eastAsia"/>
        </w:rPr>
        <w:t>プラス</w:t>
      </w:r>
      <w:r w:rsidRPr="00A7068E">
        <w:t>アプローチを適用して、私たちの活動を開発、実施、評価することを公式に約束してい</w:t>
      </w:r>
      <w:r>
        <w:rPr>
          <w:rFonts w:hint="eastAsia"/>
        </w:rPr>
        <w:t>る</w:t>
      </w:r>
      <w:r w:rsidRPr="00A7068E">
        <w:t>。 これには、研究、サーベイランス、法律、政策、規制、プログラム、サービスが含まれ</w:t>
      </w:r>
      <w:r>
        <w:rPr>
          <w:rFonts w:hint="eastAsia"/>
        </w:rPr>
        <w:t>る</w:t>
      </w:r>
      <w:r w:rsidRPr="00A7068E">
        <w:t>。 これは連邦政府のジェンダーに基づく分析</w:t>
      </w:r>
      <w:r>
        <w:rPr>
          <w:rFonts w:hint="eastAsia"/>
        </w:rPr>
        <w:t>プラス</w:t>
      </w:r>
      <w:r w:rsidRPr="00A7068E">
        <w:t>（</w:t>
      </w:r>
      <w:r w:rsidRPr="00325B39">
        <w:t xml:space="preserve">gender-based analysis plus </w:t>
      </w:r>
      <w:r>
        <w:rPr>
          <w:rFonts w:hint="eastAsia"/>
        </w:rPr>
        <w:t>：</w:t>
      </w:r>
      <w:r w:rsidRPr="00A7068E">
        <w:t>GBA</w:t>
      </w:r>
      <w:r>
        <w:rPr>
          <w:rFonts w:hint="eastAsia"/>
        </w:rPr>
        <w:t xml:space="preserve"> Plus</w:t>
      </w:r>
      <w:r w:rsidRPr="00A7068E">
        <w:t>）へのコミットメントに沿ったものである。</w:t>
      </w:r>
    </w:p>
    <w:p w14:paraId="764B7C1E" w14:textId="77777777" w:rsidR="00325B39" w:rsidRPr="00A7068E" w:rsidRDefault="00325B39" w:rsidP="00325B39">
      <w:r w:rsidRPr="00A7068E">
        <w:t>SGBA</w:t>
      </w:r>
      <w:r>
        <w:rPr>
          <w:rFonts w:hint="eastAsia"/>
        </w:rPr>
        <w:t>プラス</w:t>
      </w:r>
      <w:r w:rsidRPr="00A7068E">
        <w:t>・プロセスは、様々な要因がどのように相互作用し、また、より広範な権力システムと交差しているかを評価するための交差的アプローチ</w:t>
      </w:r>
      <w:r w:rsidRPr="00325B39">
        <w:t> intersectional approach </w:t>
      </w:r>
      <w:r w:rsidRPr="00A7068E">
        <w:t>である。 要因の例としては、性別、年齢、人種、民族性、社会経済的地位、障害、性的指向、文化的背景、移住の状況、地理的位置などが挙げられる。</w:t>
      </w:r>
    </w:p>
    <w:p w14:paraId="48E58016" w14:textId="77777777" w:rsidR="00325B39" w:rsidRPr="00A7068E" w:rsidRDefault="00325B39" w:rsidP="00325B39">
      <w:r w:rsidRPr="00A7068E">
        <w:t>この分析を行うことで、交差するアイデンティティ要因、歴史、力関係、資源の分配、個人の生活実態が、健康関連資源へのアクセスや健康アウトカムの違いにどのように寄与しているかを理解することができる。 SGBAプラスを適用することで、私たちは、より大きな健康の公平性を促進するために、応答的で包括的な健康研究に従事し、政策、サービス、プログラム、その他の</w:t>
      </w:r>
      <w:r>
        <w:t>イニシアティブ</w:t>
      </w:r>
      <w:r w:rsidRPr="00A7068E">
        <w:t>を開発することができ</w:t>
      </w:r>
      <w:r>
        <w:rPr>
          <w:rFonts w:hint="eastAsia"/>
        </w:rPr>
        <w:t>る</w:t>
      </w:r>
      <w:r w:rsidRPr="00A7068E">
        <w:t>。</w:t>
      </w:r>
    </w:p>
    <w:p w14:paraId="276FA921" w14:textId="77777777" w:rsidR="00325B39" w:rsidRPr="00A7068E" w:rsidRDefault="00325B39" w:rsidP="00325B39">
      <w:r w:rsidRPr="00A7068E">
        <w:t>この規制の枠組みに関与する際には、SGBAプラス分析を実施し、また特定の集団に起こりうる悪影響を緩和するために必要な措置を講じることを勧め</w:t>
      </w:r>
      <w:r>
        <w:rPr>
          <w:rFonts w:hint="eastAsia"/>
        </w:rPr>
        <w:t>る</w:t>
      </w:r>
      <w:r w:rsidRPr="00A7068E">
        <w:t>。</w:t>
      </w:r>
    </w:p>
    <w:p w14:paraId="01B8285D" w14:textId="77777777" w:rsidR="00325B39" w:rsidRPr="00A7068E" w:rsidRDefault="00325B39" w:rsidP="00325B39">
      <w:r w:rsidRPr="00A7068E">
        <w:t>SGBAプラス分析と評価についての詳細は</w:t>
      </w:r>
      <w:r>
        <w:rPr>
          <w:rFonts w:hint="eastAsia"/>
        </w:rPr>
        <w:t>以下を参照のこと</w:t>
      </w:r>
      <w:r w:rsidRPr="00A7068E">
        <w:t>：</w:t>
      </w:r>
    </w:p>
    <w:p w14:paraId="10F1354E" w14:textId="77777777" w:rsidR="00325B39" w:rsidRPr="00A7068E" w:rsidRDefault="00325B39" w:rsidP="00325B39">
      <w:pPr>
        <w:numPr>
          <w:ilvl w:val="0"/>
          <w:numId w:val="6"/>
        </w:numPr>
      </w:pPr>
      <w:hyperlink r:id="rId13" w:history="1">
        <w:r w:rsidRPr="00A7068E">
          <w:rPr>
            <w:rStyle w:val="a5"/>
          </w:rPr>
          <w:t>セックスとジェンダーに基づく分析プラス</w:t>
        </w:r>
      </w:hyperlink>
      <w:r w:rsidRPr="00A7068E">
        <w:t>。</w:t>
      </w:r>
    </w:p>
    <w:p w14:paraId="1096A9B0" w14:textId="77777777" w:rsidR="00325B39" w:rsidRPr="00A7068E" w:rsidRDefault="00325B39" w:rsidP="00325B39">
      <w:pPr>
        <w:numPr>
          <w:ilvl w:val="0"/>
          <w:numId w:val="6"/>
        </w:numPr>
      </w:pPr>
      <w:hyperlink r:id="rId14" w:history="1">
        <w:r w:rsidRPr="00A7068E">
          <w:rPr>
            <w:rStyle w:val="a5"/>
          </w:rPr>
          <w:t>健康ポートフォリオのセックスとジェンダーに基づく分析方針</w:t>
        </w:r>
      </w:hyperlink>
    </w:p>
    <w:p w14:paraId="7EF87FD4" w14:textId="77777777" w:rsidR="00325B39" w:rsidRPr="00A7068E" w:rsidRDefault="00325B39" w:rsidP="00325B39">
      <w:pPr>
        <w:numPr>
          <w:ilvl w:val="0"/>
          <w:numId w:val="6"/>
        </w:numPr>
      </w:pPr>
      <w:hyperlink r:id="rId15" w:history="1">
        <w:r w:rsidRPr="00A7068E">
          <w:rPr>
            <w:rStyle w:val="a5"/>
          </w:rPr>
          <w:t>ジェンダーに基づく分析プラスコースを受講する</w:t>
        </w:r>
      </w:hyperlink>
      <w:r w:rsidRPr="00A7068E">
        <w:t>。</w:t>
      </w:r>
    </w:p>
    <w:bookmarkEnd w:id="1"/>
    <w:p w14:paraId="382C961D" w14:textId="77777777" w:rsidR="00AF64F3" w:rsidRPr="00325B39" w:rsidRDefault="00AF64F3" w:rsidP="00AF64F3">
      <w:pPr>
        <w:pStyle w:val="ab"/>
        <w:ind w:leftChars="0" w:left="440"/>
      </w:pPr>
    </w:p>
    <w:sectPr w:rsidR="00AF64F3" w:rsidRPr="00325B3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476C8" w14:textId="77777777" w:rsidR="004C49C6" w:rsidRDefault="004C49C6" w:rsidP="00911873">
      <w:r>
        <w:separator/>
      </w:r>
    </w:p>
  </w:endnote>
  <w:endnote w:type="continuationSeparator" w:id="0">
    <w:p w14:paraId="43BBFEE0" w14:textId="77777777" w:rsidR="004C49C6" w:rsidRDefault="004C49C6" w:rsidP="0091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7C284" w14:textId="77777777" w:rsidR="004C49C6" w:rsidRDefault="004C49C6" w:rsidP="00911873">
      <w:r>
        <w:separator/>
      </w:r>
    </w:p>
  </w:footnote>
  <w:footnote w:type="continuationSeparator" w:id="0">
    <w:p w14:paraId="4EA37A33" w14:textId="77777777" w:rsidR="004C49C6" w:rsidRDefault="004C49C6" w:rsidP="00911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E6D9F"/>
    <w:multiLevelType w:val="multilevel"/>
    <w:tmpl w:val="8480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03903"/>
    <w:multiLevelType w:val="multilevel"/>
    <w:tmpl w:val="AB14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22FA6"/>
    <w:multiLevelType w:val="multilevel"/>
    <w:tmpl w:val="5C3CB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9743F8"/>
    <w:multiLevelType w:val="multilevel"/>
    <w:tmpl w:val="8A5E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982DA4"/>
    <w:multiLevelType w:val="multilevel"/>
    <w:tmpl w:val="36908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B250EA"/>
    <w:multiLevelType w:val="multilevel"/>
    <w:tmpl w:val="DB28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253E40"/>
    <w:multiLevelType w:val="multilevel"/>
    <w:tmpl w:val="B816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CD5FC8"/>
    <w:multiLevelType w:val="multilevel"/>
    <w:tmpl w:val="ACB6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B26FCD"/>
    <w:multiLevelType w:val="multilevel"/>
    <w:tmpl w:val="A64C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D35F32"/>
    <w:multiLevelType w:val="multilevel"/>
    <w:tmpl w:val="A16AC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DD1732"/>
    <w:multiLevelType w:val="multilevel"/>
    <w:tmpl w:val="14CA0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2D6CD3"/>
    <w:multiLevelType w:val="multilevel"/>
    <w:tmpl w:val="4AAC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1409A4"/>
    <w:multiLevelType w:val="multilevel"/>
    <w:tmpl w:val="FE0E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166838"/>
    <w:multiLevelType w:val="multilevel"/>
    <w:tmpl w:val="E3A2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832990"/>
    <w:multiLevelType w:val="hybridMultilevel"/>
    <w:tmpl w:val="6B2272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6E418AF"/>
    <w:multiLevelType w:val="multilevel"/>
    <w:tmpl w:val="2C62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2970B6"/>
    <w:multiLevelType w:val="multilevel"/>
    <w:tmpl w:val="74DC9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FB3E2E"/>
    <w:multiLevelType w:val="multilevel"/>
    <w:tmpl w:val="6180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472075"/>
    <w:multiLevelType w:val="hybridMultilevel"/>
    <w:tmpl w:val="540CD402"/>
    <w:lvl w:ilvl="0" w:tplc="C9F8AD2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750E63F2"/>
    <w:multiLevelType w:val="multilevel"/>
    <w:tmpl w:val="2900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963C01"/>
    <w:multiLevelType w:val="multilevel"/>
    <w:tmpl w:val="737C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2262027">
    <w:abstractNumId w:val="18"/>
  </w:num>
  <w:num w:numId="2" w16cid:durableId="1172766975">
    <w:abstractNumId w:val="14"/>
  </w:num>
  <w:num w:numId="3" w16cid:durableId="613757269">
    <w:abstractNumId w:val="1"/>
  </w:num>
  <w:num w:numId="4" w16cid:durableId="790781946">
    <w:abstractNumId w:val="11"/>
  </w:num>
  <w:num w:numId="5" w16cid:durableId="1450276303">
    <w:abstractNumId w:val="10"/>
  </w:num>
  <w:num w:numId="6" w16cid:durableId="1072776098">
    <w:abstractNumId w:val="8"/>
  </w:num>
  <w:num w:numId="7" w16cid:durableId="721171231">
    <w:abstractNumId w:val="15"/>
  </w:num>
  <w:num w:numId="8" w16cid:durableId="305862780">
    <w:abstractNumId w:val="12"/>
  </w:num>
  <w:num w:numId="9" w16cid:durableId="614219772">
    <w:abstractNumId w:val="19"/>
  </w:num>
  <w:num w:numId="10" w16cid:durableId="898709661">
    <w:abstractNumId w:val="20"/>
  </w:num>
  <w:num w:numId="11" w16cid:durableId="340083169">
    <w:abstractNumId w:val="3"/>
  </w:num>
  <w:num w:numId="12" w16cid:durableId="616064067">
    <w:abstractNumId w:val="0"/>
  </w:num>
  <w:num w:numId="13" w16cid:durableId="1040011978">
    <w:abstractNumId w:val="2"/>
  </w:num>
  <w:num w:numId="14" w16cid:durableId="604927799">
    <w:abstractNumId w:val="16"/>
  </w:num>
  <w:num w:numId="15" w16cid:durableId="377357739">
    <w:abstractNumId w:val="17"/>
  </w:num>
  <w:num w:numId="16" w16cid:durableId="1924072439">
    <w:abstractNumId w:val="6"/>
  </w:num>
  <w:num w:numId="17" w16cid:durableId="2016687863">
    <w:abstractNumId w:val="5"/>
  </w:num>
  <w:num w:numId="18" w16cid:durableId="1505126395">
    <w:abstractNumId w:val="9"/>
  </w:num>
  <w:num w:numId="19" w16cid:durableId="1874462978">
    <w:abstractNumId w:val="13"/>
  </w:num>
  <w:num w:numId="20" w16cid:durableId="11347477">
    <w:abstractNumId w:val="7"/>
  </w:num>
  <w:num w:numId="21" w16cid:durableId="17523172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216"/>
    <w:rsid w:val="00012387"/>
    <w:rsid w:val="000B5127"/>
    <w:rsid w:val="000C6EC2"/>
    <w:rsid w:val="00192104"/>
    <w:rsid w:val="00266EA4"/>
    <w:rsid w:val="002F1627"/>
    <w:rsid w:val="0031149B"/>
    <w:rsid w:val="00325B39"/>
    <w:rsid w:val="004C49C6"/>
    <w:rsid w:val="004F2A1C"/>
    <w:rsid w:val="0051331A"/>
    <w:rsid w:val="005552BB"/>
    <w:rsid w:val="005F546D"/>
    <w:rsid w:val="0064193E"/>
    <w:rsid w:val="00643779"/>
    <w:rsid w:val="006565C5"/>
    <w:rsid w:val="00717B38"/>
    <w:rsid w:val="00767805"/>
    <w:rsid w:val="008C0CC0"/>
    <w:rsid w:val="008D2AFF"/>
    <w:rsid w:val="00911873"/>
    <w:rsid w:val="009C738C"/>
    <w:rsid w:val="009F10E8"/>
    <w:rsid w:val="00A7068E"/>
    <w:rsid w:val="00A758E9"/>
    <w:rsid w:val="00AE0EB7"/>
    <w:rsid w:val="00AF64F3"/>
    <w:rsid w:val="00B43F69"/>
    <w:rsid w:val="00B77A31"/>
    <w:rsid w:val="00BF340B"/>
    <w:rsid w:val="00C62A1B"/>
    <w:rsid w:val="00CC744D"/>
    <w:rsid w:val="00DD271F"/>
    <w:rsid w:val="00E75D29"/>
    <w:rsid w:val="00EC02B9"/>
    <w:rsid w:val="00EC72E4"/>
    <w:rsid w:val="00ED6B06"/>
    <w:rsid w:val="00F27216"/>
    <w:rsid w:val="00FD48C0"/>
    <w:rsid w:val="00FD7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DD28E8"/>
  <w15:chartTrackingRefBased/>
  <w15:docId w15:val="{75CC3CF4-E646-42A2-AA54-E9947D451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iPriority w:val="9"/>
    <w:semiHidden/>
    <w:unhideWhenUsed/>
    <w:qFormat/>
    <w:rsid w:val="00325B39"/>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27216"/>
  </w:style>
  <w:style w:type="character" w:customStyle="1" w:styleId="a4">
    <w:name w:val="日付 (文字)"/>
    <w:basedOn w:val="a0"/>
    <w:link w:val="a3"/>
    <w:uiPriority w:val="99"/>
    <w:semiHidden/>
    <w:rsid w:val="00F27216"/>
  </w:style>
  <w:style w:type="character" w:styleId="a5">
    <w:name w:val="Hyperlink"/>
    <w:basedOn w:val="a0"/>
    <w:uiPriority w:val="99"/>
    <w:unhideWhenUsed/>
    <w:rsid w:val="00ED6B06"/>
    <w:rPr>
      <w:color w:val="0563C1" w:themeColor="hyperlink"/>
      <w:u w:val="single"/>
    </w:rPr>
  </w:style>
  <w:style w:type="character" w:styleId="a6">
    <w:name w:val="Unresolved Mention"/>
    <w:basedOn w:val="a0"/>
    <w:uiPriority w:val="99"/>
    <w:semiHidden/>
    <w:unhideWhenUsed/>
    <w:rsid w:val="00ED6B06"/>
    <w:rPr>
      <w:color w:val="605E5C"/>
      <w:shd w:val="clear" w:color="auto" w:fill="E1DFDD"/>
    </w:rPr>
  </w:style>
  <w:style w:type="paragraph" w:styleId="a7">
    <w:name w:val="header"/>
    <w:basedOn w:val="a"/>
    <w:link w:val="a8"/>
    <w:uiPriority w:val="99"/>
    <w:unhideWhenUsed/>
    <w:rsid w:val="00911873"/>
    <w:pPr>
      <w:tabs>
        <w:tab w:val="center" w:pos="4252"/>
        <w:tab w:val="right" w:pos="8504"/>
      </w:tabs>
      <w:snapToGrid w:val="0"/>
    </w:pPr>
  </w:style>
  <w:style w:type="character" w:customStyle="1" w:styleId="a8">
    <w:name w:val="ヘッダー (文字)"/>
    <w:basedOn w:val="a0"/>
    <w:link w:val="a7"/>
    <w:uiPriority w:val="99"/>
    <w:rsid w:val="00911873"/>
  </w:style>
  <w:style w:type="paragraph" w:styleId="a9">
    <w:name w:val="footer"/>
    <w:basedOn w:val="a"/>
    <w:link w:val="aa"/>
    <w:uiPriority w:val="99"/>
    <w:unhideWhenUsed/>
    <w:rsid w:val="00911873"/>
    <w:pPr>
      <w:tabs>
        <w:tab w:val="center" w:pos="4252"/>
        <w:tab w:val="right" w:pos="8504"/>
      </w:tabs>
      <w:snapToGrid w:val="0"/>
    </w:pPr>
  </w:style>
  <w:style w:type="character" w:customStyle="1" w:styleId="aa">
    <w:name w:val="フッター (文字)"/>
    <w:basedOn w:val="a0"/>
    <w:link w:val="a9"/>
    <w:uiPriority w:val="99"/>
    <w:rsid w:val="00911873"/>
  </w:style>
  <w:style w:type="paragraph" w:styleId="ab">
    <w:name w:val="List Paragraph"/>
    <w:basedOn w:val="a"/>
    <w:uiPriority w:val="34"/>
    <w:qFormat/>
    <w:rsid w:val="005F546D"/>
    <w:pPr>
      <w:ind w:leftChars="400" w:left="840"/>
    </w:pPr>
  </w:style>
  <w:style w:type="character" w:customStyle="1" w:styleId="30">
    <w:name w:val="見出し 3 (文字)"/>
    <w:basedOn w:val="a0"/>
    <w:link w:val="3"/>
    <w:uiPriority w:val="9"/>
    <w:semiHidden/>
    <w:rsid w:val="00325B39"/>
    <w:rPr>
      <w:rFonts w:asciiTheme="majorHAnsi" w:eastAsiaTheme="majorEastAsia" w:hAnsiTheme="majorHAnsi" w:cstheme="majorBidi"/>
    </w:rPr>
  </w:style>
  <w:style w:type="character" w:styleId="ac">
    <w:name w:val="FollowedHyperlink"/>
    <w:basedOn w:val="a0"/>
    <w:uiPriority w:val="99"/>
    <w:semiHidden/>
    <w:unhideWhenUsed/>
    <w:rsid w:val="00BF34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20838">
      <w:bodyDiv w:val="1"/>
      <w:marLeft w:val="0"/>
      <w:marRight w:val="0"/>
      <w:marTop w:val="0"/>
      <w:marBottom w:val="0"/>
      <w:divBdr>
        <w:top w:val="none" w:sz="0" w:space="0" w:color="auto"/>
        <w:left w:val="none" w:sz="0" w:space="0" w:color="auto"/>
        <w:bottom w:val="none" w:sz="0" w:space="0" w:color="auto"/>
        <w:right w:val="none" w:sz="0" w:space="0" w:color="auto"/>
      </w:divBdr>
      <w:divsChild>
        <w:div w:id="1764838778">
          <w:marLeft w:val="450"/>
          <w:marRight w:val="0"/>
          <w:marTop w:val="0"/>
          <w:marBottom w:val="0"/>
          <w:divBdr>
            <w:top w:val="none" w:sz="0" w:space="0" w:color="auto"/>
            <w:left w:val="none" w:sz="0" w:space="0" w:color="auto"/>
            <w:bottom w:val="none" w:sz="0" w:space="0" w:color="auto"/>
            <w:right w:val="none" w:sz="0" w:space="0" w:color="auto"/>
          </w:divBdr>
        </w:div>
        <w:div w:id="1423914671">
          <w:marLeft w:val="450"/>
          <w:marRight w:val="0"/>
          <w:marTop w:val="0"/>
          <w:marBottom w:val="0"/>
          <w:divBdr>
            <w:top w:val="none" w:sz="0" w:space="0" w:color="auto"/>
            <w:left w:val="none" w:sz="0" w:space="0" w:color="auto"/>
            <w:bottom w:val="none" w:sz="0" w:space="0" w:color="auto"/>
            <w:right w:val="none" w:sz="0" w:space="0" w:color="auto"/>
          </w:divBdr>
        </w:div>
        <w:div w:id="761880243">
          <w:marLeft w:val="0"/>
          <w:marRight w:val="0"/>
          <w:marTop w:val="0"/>
          <w:marBottom w:val="0"/>
          <w:divBdr>
            <w:top w:val="none" w:sz="0" w:space="0" w:color="auto"/>
            <w:left w:val="none" w:sz="0" w:space="0" w:color="auto"/>
            <w:bottom w:val="none" w:sz="0" w:space="0" w:color="auto"/>
            <w:right w:val="none" w:sz="0" w:space="0" w:color="auto"/>
          </w:divBdr>
        </w:div>
        <w:div w:id="1137379351">
          <w:marLeft w:val="450"/>
          <w:marRight w:val="0"/>
          <w:marTop w:val="0"/>
          <w:marBottom w:val="0"/>
          <w:divBdr>
            <w:top w:val="none" w:sz="0" w:space="0" w:color="auto"/>
            <w:left w:val="none" w:sz="0" w:space="0" w:color="auto"/>
            <w:bottom w:val="none" w:sz="0" w:space="0" w:color="auto"/>
            <w:right w:val="none" w:sz="0" w:space="0" w:color="auto"/>
          </w:divBdr>
        </w:div>
        <w:div w:id="187455770">
          <w:marLeft w:val="450"/>
          <w:marRight w:val="0"/>
          <w:marTop w:val="0"/>
          <w:marBottom w:val="0"/>
          <w:divBdr>
            <w:top w:val="none" w:sz="0" w:space="0" w:color="auto"/>
            <w:left w:val="none" w:sz="0" w:space="0" w:color="auto"/>
            <w:bottom w:val="none" w:sz="0" w:space="0" w:color="auto"/>
            <w:right w:val="none" w:sz="0" w:space="0" w:color="auto"/>
          </w:divBdr>
        </w:div>
        <w:div w:id="2080784328">
          <w:marLeft w:val="0"/>
          <w:marRight w:val="0"/>
          <w:marTop w:val="0"/>
          <w:marBottom w:val="0"/>
          <w:divBdr>
            <w:top w:val="none" w:sz="0" w:space="0" w:color="auto"/>
            <w:left w:val="none" w:sz="0" w:space="0" w:color="auto"/>
            <w:bottom w:val="none" w:sz="0" w:space="0" w:color="auto"/>
            <w:right w:val="none" w:sz="0" w:space="0" w:color="auto"/>
          </w:divBdr>
        </w:div>
        <w:div w:id="394934549">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 w:id="272396181">
      <w:bodyDiv w:val="1"/>
      <w:marLeft w:val="0"/>
      <w:marRight w:val="0"/>
      <w:marTop w:val="0"/>
      <w:marBottom w:val="0"/>
      <w:divBdr>
        <w:top w:val="none" w:sz="0" w:space="0" w:color="auto"/>
        <w:left w:val="none" w:sz="0" w:space="0" w:color="auto"/>
        <w:bottom w:val="none" w:sz="0" w:space="0" w:color="auto"/>
        <w:right w:val="none" w:sz="0" w:space="0" w:color="auto"/>
      </w:divBdr>
    </w:div>
    <w:div w:id="375734956">
      <w:bodyDiv w:val="1"/>
      <w:marLeft w:val="0"/>
      <w:marRight w:val="0"/>
      <w:marTop w:val="0"/>
      <w:marBottom w:val="0"/>
      <w:divBdr>
        <w:top w:val="none" w:sz="0" w:space="0" w:color="auto"/>
        <w:left w:val="none" w:sz="0" w:space="0" w:color="auto"/>
        <w:bottom w:val="none" w:sz="0" w:space="0" w:color="auto"/>
        <w:right w:val="none" w:sz="0" w:space="0" w:color="auto"/>
      </w:divBdr>
      <w:divsChild>
        <w:div w:id="1291086154">
          <w:marLeft w:val="450"/>
          <w:marRight w:val="0"/>
          <w:marTop w:val="0"/>
          <w:marBottom w:val="0"/>
          <w:divBdr>
            <w:top w:val="none" w:sz="0" w:space="0" w:color="auto"/>
            <w:left w:val="none" w:sz="0" w:space="0" w:color="auto"/>
            <w:bottom w:val="none" w:sz="0" w:space="0" w:color="auto"/>
            <w:right w:val="none" w:sz="0" w:space="0" w:color="auto"/>
          </w:divBdr>
        </w:div>
        <w:div w:id="1538857617">
          <w:marLeft w:val="450"/>
          <w:marRight w:val="0"/>
          <w:marTop w:val="0"/>
          <w:marBottom w:val="0"/>
          <w:divBdr>
            <w:top w:val="none" w:sz="0" w:space="0" w:color="auto"/>
            <w:left w:val="none" w:sz="0" w:space="0" w:color="auto"/>
            <w:bottom w:val="none" w:sz="0" w:space="0" w:color="auto"/>
            <w:right w:val="none" w:sz="0" w:space="0" w:color="auto"/>
          </w:divBdr>
        </w:div>
        <w:div w:id="1597785579">
          <w:marLeft w:val="0"/>
          <w:marRight w:val="0"/>
          <w:marTop w:val="0"/>
          <w:marBottom w:val="0"/>
          <w:divBdr>
            <w:top w:val="none" w:sz="0" w:space="0" w:color="auto"/>
            <w:left w:val="none" w:sz="0" w:space="0" w:color="auto"/>
            <w:bottom w:val="none" w:sz="0" w:space="0" w:color="auto"/>
            <w:right w:val="none" w:sz="0" w:space="0" w:color="auto"/>
          </w:divBdr>
        </w:div>
        <w:div w:id="240532846">
          <w:marLeft w:val="450"/>
          <w:marRight w:val="0"/>
          <w:marTop w:val="0"/>
          <w:marBottom w:val="0"/>
          <w:divBdr>
            <w:top w:val="none" w:sz="0" w:space="0" w:color="auto"/>
            <w:left w:val="none" w:sz="0" w:space="0" w:color="auto"/>
            <w:bottom w:val="none" w:sz="0" w:space="0" w:color="auto"/>
            <w:right w:val="none" w:sz="0" w:space="0" w:color="auto"/>
          </w:divBdr>
        </w:div>
        <w:div w:id="1499610154">
          <w:marLeft w:val="450"/>
          <w:marRight w:val="0"/>
          <w:marTop w:val="0"/>
          <w:marBottom w:val="0"/>
          <w:divBdr>
            <w:top w:val="none" w:sz="0" w:space="0" w:color="auto"/>
            <w:left w:val="none" w:sz="0" w:space="0" w:color="auto"/>
            <w:bottom w:val="none" w:sz="0" w:space="0" w:color="auto"/>
            <w:right w:val="none" w:sz="0" w:space="0" w:color="auto"/>
          </w:divBdr>
        </w:div>
        <w:div w:id="1856649274">
          <w:marLeft w:val="0"/>
          <w:marRight w:val="0"/>
          <w:marTop w:val="0"/>
          <w:marBottom w:val="0"/>
          <w:divBdr>
            <w:top w:val="none" w:sz="0" w:space="0" w:color="auto"/>
            <w:left w:val="none" w:sz="0" w:space="0" w:color="auto"/>
            <w:bottom w:val="none" w:sz="0" w:space="0" w:color="auto"/>
            <w:right w:val="none" w:sz="0" w:space="0" w:color="auto"/>
          </w:divBdr>
        </w:div>
        <w:div w:id="1398283748">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 w:id="499547874">
      <w:bodyDiv w:val="1"/>
      <w:marLeft w:val="0"/>
      <w:marRight w:val="0"/>
      <w:marTop w:val="0"/>
      <w:marBottom w:val="0"/>
      <w:divBdr>
        <w:top w:val="none" w:sz="0" w:space="0" w:color="auto"/>
        <w:left w:val="none" w:sz="0" w:space="0" w:color="auto"/>
        <w:bottom w:val="none" w:sz="0" w:space="0" w:color="auto"/>
        <w:right w:val="none" w:sz="0" w:space="0" w:color="auto"/>
      </w:divBdr>
    </w:div>
    <w:div w:id="858810932">
      <w:bodyDiv w:val="1"/>
      <w:marLeft w:val="0"/>
      <w:marRight w:val="0"/>
      <w:marTop w:val="0"/>
      <w:marBottom w:val="0"/>
      <w:divBdr>
        <w:top w:val="none" w:sz="0" w:space="0" w:color="auto"/>
        <w:left w:val="none" w:sz="0" w:space="0" w:color="auto"/>
        <w:bottom w:val="none" w:sz="0" w:space="0" w:color="auto"/>
        <w:right w:val="none" w:sz="0" w:space="0" w:color="auto"/>
      </w:divBdr>
    </w:div>
    <w:div w:id="1380057817">
      <w:bodyDiv w:val="1"/>
      <w:marLeft w:val="0"/>
      <w:marRight w:val="0"/>
      <w:marTop w:val="0"/>
      <w:marBottom w:val="0"/>
      <w:divBdr>
        <w:top w:val="none" w:sz="0" w:space="0" w:color="auto"/>
        <w:left w:val="none" w:sz="0" w:space="0" w:color="auto"/>
        <w:bottom w:val="none" w:sz="0" w:space="0" w:color="auto"/>
        <w:right w:val="none" w:sz="0" w:space="0" w:color="auto"/>
      </w:divBdr>
    </w:div>
    <w:div w:id="1397316136">
      <w:bodyDiv w:val="1"/>
      <w:marLeft w:val="0"/>
      <w:marRight w:val="0"/>
      <w:marTop w:val="0"/>
      <w:marBottom w:val="0"/>
      <w:divBdr>
        <w:top w:val="none" w:sz="0" w:space="0" w:color="auto"/>
        <w:left w:val="none" w:sz="0" w:space="0" w:color="auto"/>
        <w:bottom w:val="none" w:sz="0" w:space="0" w:color="auto"/>
        <w:right w:val="none" w:sz="0" w:space="0" w:color="auto"/>
      </w:divBdr>
    </w:div>
    <w:div w:id="1718973248">
      <w:bodyDiv w:val="1"/>
      <w:marLeft w:val="0"/>
      <w:marRight w:val="0"/>
      <w:marTop w:val="0"/>
      <w:marBottom w:val="0"/>
      <w:divBdr>
        <w:top w:val="none" w:sz="0" w:space="0" w:color="auto"/>
        <w:left w:val="none" w:sz="0" w:space="0" w:color="auto"/>
        <w:bottom w:val="none" w:sz="0" w:space="0" w:color="auto"/>
        <w:right w:val="none" w:sz="0" w:space="0" w:color="auto"/>
      </w:divBdr>
    </w:div>
    <w:div w:id="1739013526">
      <w:bodyDiv w:val="1"/>
      <w:marLeft w:val="0"/>
      <w:marRight w:val="0"/>
      <w:marTop w:val="0"/>
      <w:marBottom w:val="0"/>
      <w:divBdr>
        <w:top w:val="none" w:sz="0" w:space="0" w:color="auto"/>
        <w:left w:val="none" w:sz="0" w:space="0" w:color="auto"/>
        <w:bottom w:val="none" w:sz="0" w:space="0" w:color="auto"/>
        <w:right w:val="none" w:sz="0" w:space="0" w:color="auto"/>
      </w:divBdr>
    </w:div>
    <w:div w:id="183163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health-canada/services/drugs-health-products/drug-products/drug-shortages.html" TargetMode="External"/><Relationship Id="rId13" Type="http://schemas.openxmlformats.org/officeDocument/2006/relationships/hyperlink" Target="https://www.canada.ca/en/health-canada/corporate/transparency/sex-gender-based-analysis-action.html" TargetMode="External"/><Relationship Id="rId3" Type="http://schemas.openxmlformats.org/officeDocument/2006/relationships/settings" Target="settings.xml"/><Relationship Id="rId7" Type="http://schemas.openxmlformats.org/officeDocument/2006/relationships/hyperlink" Target="https://www.canada.ca/en/health-canada/services/drugs-health-products/drug-products/drug-shortages/regulations-guidance/guide-safety-stocks.html" TargetMode="External"/><Relationship Id="rId12" Type="http://schemas.openxmlformats.org/officeDocument/2006/relationships/hyperlink" Target="https://laws-lois.justice.gc.ca/eng/acts/C-4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nada.ca/en/health-canada/services/drugs-health-products/drug-products/drug-shortages/regulations-guidance/guide-shortage-prevention-mitigation-plans.html" TargetMode="External"/><Relationship Id="rId5" Type="http://schemas.openxmlformats.org/officeDocument/2006/relationships/footnotes" Target="footnotes.xml"/><Relationship Id="rId15" Type="http://schemas.openxmlformats.org/officeDocument/2006/relationships/hyperlink" Target="https://www.canada.ca/en/women-gender-equality/gender-based-analysis-plus/take-course.html" TargetMode="External"/><Relationship Id="rId10" Type="http://schemas.openxmlformats.org/officeDocument/2006/relationships/hyperlink" Target="https://www.canada.ca/en/health-canada/services/drugs-health-products/drug-products/drug-shortages/regulations-guidance/reporting-drug-shortages-discontinuations.html" TargetMode="External"/><Relationship Id="rId4" Type="http://schemas.openxmlformats.org/officeDocument/2006/relationships/webSettings" Target="webSettings.xml"/><Relationship Id="rId9" Type="http://schemas.openxmlformats.org/officeDocument/2006/relationships/hyperlink" Target="mailto:Drug.shortages-Penurie.de.medicament@hc-sc.gc.ca" TargetMode="External"/><Relationship Id="rId14" Type="http://schemas.openxmlformats.org/officeDocument/2006/relationships/hyperlink" Target="https://www.canada.ca/en/health-canada/corporate/transparency/heath-portfolio-sex-gender-based-analysis-policy.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1333</Words>
  <Characters>7601</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SAKAMAKI Hiroyuki</dc:creator>
  <cp:keywords/>
  <dc:description/>
  <cp:lastModifiedBy>SAKAMAKI Hiroyuki</cp:lastModifiedBy>
  <cp:revision>4</cp:revision>
  <dcterms:created xsi:type="dcterms:W3CDTF">2025-01-16T05:52:00Z</dcterms:created>
  <dcterms:modified xsi:type="dcterms:W3CDTF">2025-01-16T08:18:00Z</dcterms:modified>
</cp:coreProperties>
</file>