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F49F8" w14:textId="1EB08FF7" w:rsidR="005D28FD" w:rsidRDefault="00F422A4">
      <w:r w:rsidRPr="00192104">
        <w:rPr>
          <w:rFonts w:hint="eastAsia"/>
        </w:rPr>
        <w:t>拡大範囲リスト</w:t>
      </w:r>
      <w:r w:rsidRPr="00192104">
        <w:t>Expanded Scope List</w:t>
      </w:r>
    </w:p>
    <w:p w14:paraId="2292803F" w14:textId="77777777" w:rsidR="00F422A4" w:rsidRPr="00F422A4" w:rsidRDefault="00F422A4" w:rsidP="00F422A4">
      <w:r w:rsidRPr="00F422A4">
        <w:t>Government of Canada</w:t>
      </w:r>
      <w:r>
        <w:rPr>
          <w:rFonts w:hint="eastAsia"/>
        </w:rPr>
        <w:t>：</w:t>
      </w:r>
      <w:r w:rsidRPr="00F422A4">
        <w:t>Draft for consultation: Expanded scope list</w:t>
      </w:r>
    </w:p>
    <w:p w14:paraId="314A48C2" w14:textId="31FA6C0A" w:rsidR="00F422A4" w:rsidRDefault="00F422A4" w:rsidP="00F422A4">
      <w:hyperlink r:id="rId5" w:history="1">
        <w:r w:rsidRPr="00563422">
          <w:rPr>
            <w:rStyle w:val="a3"/>
          </w:rPr>
          <w:t>https://www.canada.ca/en/health-canada/services/drugs-health-products/drug-products/drug-shortages/expanded-scope-list.html</w:t>
        </w:r>
      </w:hyperlink>
    </w:p>
    <w:p w14:paraId="1C370866" w14:textId="77777777" w:rsidR="00F422A4" w:rsidRPr="00F422A4" w:rsidRDefault="00F422A4">
      <w:pPr>
        <w:rPr>
          <w:rFonts w:hint="eastAsia"/>
        </w:rPr>
      </w:pPr>
    </w:p>
    <w:p w14:paraId="1338BB10" w14:textId="77777777" w:rsidR="00B9507F" w:rsidRPr="00B9507F" w:rsidRDefault="00B9507F" w:rsidP="00B9507F">
      <w:pPr>
        <w:rPr>
          <w:b/>
          <w:bCs/>
        </w:rPr>
      </w:pPr>
      <w:r w:rsidRPr="00B9507F">
        <w:rPr>
          <w:b/>
          <w:bCs/>
        </w:rPr>
        <w:t>リストについて</w:t>
      </w:r>
    </w:p>
    <w:p w14:paraId="24495020" w14:textId="64A10D6B" w:rsidR="00B9507F" w:rsidRPr="00B9507F" w:rsidRDefault="00B9507F" w:rsidP="00B9507F">
      <w:pPr>
        <w:tabs>
          <w:tab w:val="num" w:pos="720"/>
          <w:tab w:val="num" w:pos="1440"/>
        </w:tabs>
      </w:pPr>
      <w:hyperlink r:id="rId6" w:history="1">
        <w:r w:rsidRPr="00B9507F">
          <w:rPr>
            <w:rStyle w:val="a3"/>
          </w:rPr>
          <w:t>食品医薬品規則</w:t>
        </w:r>
      </w:hyperlink>
      <w:r w:rsidRPr="00B9507F">
        <w:t>（</w:t>
      </w:r>
      <w:r w:rsidRPr="00B9507F">
        <w:t>FDR</w:t>
      </w:r>
      <w:r w:rsidRPr="00B9507F">
        <w:t>）改正案の</w:t>
      </w:r>
      <w:r w:rsidRPr="00B9507F">
        <w:t>C.01.014.8</w:t>
      </w:r>
      <w:r w:rsidRPr="00B9507F">
        <w:t>項の定義「医薬品」の目的のための医薬品リストは、拡大範囲リストとも呼ばれ、現在不足の枠組みから外れている医薬品に特定の規制条項を適用するものである。</w:t>
      </w:r>
      <w:r>
        <w:br/>
      </w:r>
      <w:r w:rsidRPr="00B9507F">
        <w:t>その規定は以下のようなものである：</w:t>
      </w:r>
      <w:r>
        <w:br/>
      </w:r>
      <w:r w:rsidRPr="00B9507F">
        <w:t>医薬品不足の報告</w:t>
      </w:r>
      <w:r>
        <w:rPr>
          <w:rFonts w:hint="eastAsia"/>
        </w:rPr>
        <w:t xml:space="preserve">　</w:t>
      </w:r>
      <w:r w:rsidRPr="00B9507F">
        <w:t>C.01.014.9</w:t>
      </w:r>
      <w:r w:rsidRPr="00B9507F">
        <w:t>～</w:t>
      </w:r>
      <w:r w:rsidRPr="00B9507F">
        <w:t>C.01.014.93</w:t>
      </w:r>
    </w:p>
    <w:p w14:paraId="7E68B379" w14:textId="752DAA41" w:rsidR="00B9507F" w:rsidRDefault="00B9507F" w:rsidP="00B9507F">
      <w:r w:rsidRPr="00B9507F">
        <w:t>適用範囲拡大リストに掲載されている医薬品は、追加的な条件を満たす場合、欠品防止・緩和計画（</w:t>
      </w:r>
      <w:r w:rsidRPr="00B9507F">
        <w:t>C.01.014.81</w:t>
      </w:r>
      <w:r w:rsidRPr="00B9507F">
        <w:t>）、安全在庫（</w:t>
      </w:r>
      <w:r w:rsidRPr="00B9507F">
        <w:t>C.01.014.83</w:t>
      </w:r>
      <w:r w:rsidRPr="00B9507F">
        <w:t>～</w:t>
      </w:r>
      <w:r w:rsidRPr="00B9507F">
        <w:t>C.01.014.85</w:t>
      </w:r>
      <w:r w:rsidRPr="00B9507F">
        <w:t>）、需要急増報告（</w:t>
      </w:r>
      <w:r w:rsidRPr="00B9507F">
        <w:t>C.01.014.91</w:t>
      </w:r>
      <w:r w:rsidRPr="00B9507F">
        <w:t>）も必要となる場合がある。</w:t>
      </w:r>
      <w:r>
        <w:br/>
      </w:r>
      <w:r w:rsidRPr="00B9507F">
        <w:t>医薬品不足に関する情報については、以下を参照のこと：</w:t>
      </w:r>
      <w:r>
        <w:br/>
      </w:r>
      <w:hyperlink r:id="rId7" w:history="1">
        <w:r w:rsidRPr="00B9507F">
          <w:rPr>
            <w:rStyle w:val="a3"/>
          </w:rPr>
          <w:t>コンサルテーション用ドラフト：</w:t>
        </w:r>
        <w:r w:rsidRPr="00B9507F">
          <w:rPr>
            <w:rStyle w:val="a3"/>
          </w:rPr>
          <w:t xml:space="preserve"> </w:t>
        </w:r>
        <w:r w:rsidRPr="00B9507F">
          <w:rPr>
            <w:rStyle w:val="a3"/>
          </w:rPr>
          <w:t>医薬品供給不足と販売中止の報告ガイド（</w:t>
        </w:r>
        <w:r w:rsidRPr="00B9507F">
          <w:rPr>
            <w:rStyle w:val="a3"/>
          </w:rPr>
          <w:t>GUI-0120</w:t>
        </w:r>
        <w:r w:rsidRPr="00B9507F">
          <w:rPr>
            <w:rStyle w:val="a3"/>
          </w:rPr>
          <w:t>）</w:t>
        </w:r>
      </w:hyperlink>
    </w:p>
    <w:p w14:paraId="6BAA88EE" w14:textId="77777777" w:rsidR="00992C68" w:rsidRPr="00B9507F" w:rsidRDefault="00992C68" w:rsidP="00B9507F"/>
    <w:p w14:paraId="49260698" w14:textId="77777777" w:rsidR="00B9507F" w:rsidRDefault="00B9507F" w:rsidP="00B9507F">
      <w:pPr>
        <w:rPr>
          <w:b/>
          <w:bCs/>
        </w:rPr>
      </w:pPr>
      <w:r w:rsidRPr="00B9507F">
        <w:rPr>
          <w:b/>
          <w:bCs/>
        </w:rPr>
        <w:t>リストに含まれる医薬品</w:t>
      </w:r>
    </w:p>
    <w:p w14:paraId="0DA2D724" w14:textId="77777777" w:rsidR="00B9507F" w:rsidRDefault="00B9507F" w:rsidP="00B9507F">
      <w:pPr>
        <w:tabs>
          <w:tab w:val="num" w:pos="720"/>
        </w:tabs>
        <w:rPr>
          <w:b/>
          <w:bCs/>
        </w:rPr>
      </w:pPr>
      <w:r w:rsidRPr="00B9507F">
        <w:t>リストには</w:t>
      </w:r>
      <w:r w:rsidRPr="00B9507F">
        <w:t>2</w:t>
      </w:r>
      <w:r w:rsidRPr="00B9507F">
        <w:t>つのパートがある：</w:t>
      </w:r>
    </w:p>
    <w:p w14:paraId="79E33DAB" w14:textId="77777777" w:rsidR="00B9507F" w:rsidRDefault="00B9507F" w:rsidP="00B9507F">
      <w:pPr>
        <w:pStyle w:val="a5"/>
        <w:numPr>
          <w:ilvl w:val="0"/>
          <w:numId w:val="7"/>
        </w:numPr>
        <w:tabs>
          <w:tab w:val="num" w:pos="720"/>
        </w:tabs>
        <w:ind w:leftChars="0"/>
      </w:pPr>
      <w:r w:rsidRPr="00B9507F">
        <w:t>パート</w:t>
      </w:r>
      <w:r w:rsidRPr="00B9507F">
        <w:t>1</w:t>
      </w:r>
      <w:r w:rsidRPr="00B9507F">
        <w:t>は個々の医薬品をリストアップする</w:t>
      </w:r>
    </w:p>
    <w:p w14:paraId="201C20F0" w14:textId="7BE4216D" w:rsidR="00B9507F" w:rsidRDefault="00B9507F" w:rsidP="00B9507F">
      <w:pPr>
        <w:pStyle w:val="a5"/>
        <w:numPr>
          <w:ilvl w:val="0"/>
          <w:numId w:val="7"/>
        </w:numPr>
        <w:tabs>
          <w:tab w:val="num" w:pos="720"/>
        </w:tabs>
        <w:ind w:leftChars="0"/>
      </w:pPr>
      <w:r w:rsidRPr="00B9507F">
        <w:t>第</w:t>
      </w:r>
      <w:r w:rsidRPr="00B9507F">
        <w:t>2</w:t>
      </w:r>
      <w:r w:rsidRPr="00B9507F">
        <w:t>部では、医薬品のクラスをリストアップする。</w:t>
      </w:r>
    </w:p>
    <w:p w14:paraId="321CBBA0" w14:textId="747DFB3C" w:rsidR="00B9507F" w:rsidRPr="00B9507F" w:rsidRDefault="00B9507F" w:rsidP="00B9507F">
      <w:pPr>
        <w:tabs>
          <w:tab w:val="num" w:pos="720"/>
        </w:tabs>
      </w:pPr>
      <w:r w:rsidRPr="00B9507F">
        <w:t>このリストには、欠品または販売中止が人の健康を損なう危険性がある医薬品または医薬品のクラスのみが含まれる。</w:t>
      </w:r>
    </w:p>
    <w:p w14:paraId="1356A6CB" w14:textId="7CB24CD4" w:rsidR="00B9507F" w:rsidRPr="00B9507F" w:rsidRDefault="00B9507F" w:rsidP="00B9507F">
      <w:r w:rsidRPr="00B9507F">
        <w:t>カナダ保健省は、</w:t>
      </w:r>
      <w:r w:rsidRPr="00B9507F">
        <w:rPr>
          <w:b/>
          <w:bCs/>
        </w:rPr>
        <w:t>不足による健康被害のリスク</w:t>
      </w:r>
      <w:r w:rsidRPr="00B9507F">
        <w:t>を、不足による治療の中断、欠如、遅延が人の健康に害を及ぼす可能性と解釈してい</w:t>
      </w:r>
      <w:r>
        <w:rPr>
          <w:rFonts w:hint="eastAsia"/>
        </w:rPr>
        <w:t>る</w:t>
      </w:r>
      <w:r w:rsidRPr="00B9507F">
        <w:t>。</w:t>
      </w:r>
    </w:p>
    <w:p w14:paraId="7E498006" w14:textId="6EACE212" w:rsidR="00B9507F" w:rsidRPr="00B9507F" w:rsidRDefault="00B9507F" w:rsidP="00B9507F">
      <w:r w:rsidRPr="00B9507F">
        <w:t>カナダ保健省は、現在品不足の枠組みの範囲内である医薬品のうち、以下の医薬品は品不足に含めないとしてい</w:t>
      </w:r>
      <w:r>
        <w:rPr>
          <w:rFonts w:hint="eastAsia"/>
        </w:rPr>
        <w:t>る。</w:t>
      </w:r>
    </w:p>
    <w:p w14:paraId="64C174EB" w14:textId="77777777" w:rsidR="00B9507F" w:rsidRPr="00B9507F" w:rsidRDefault="00B9507F" w:rsidP="00B9507F">
      <w:pPr>
        <w:numPr>
          <w:ilvl w:val="0"/>
          <w:numId w:val="4"/>
        </w:numPr>
      </w:pPr>
      <w:hyperlink r:id="rId8" w:history="1">
        <w:r w:rsidRPr="00B9507F">
          <w:rPr>
            <w:rStyle w:val="a3"/>
          </w:rPr>
          <w:t>規制薬物および物質法</w:t>
        </w:r>
      </w:hyperlink>
      <w:r w:rsidRPr="00B9507F">
        <w:t>のスケジュール</w:t>
      </w:r>
      <w:r w:rsidRPr="00B9507F">
        <w:t>I</w:t>
      </w:r>
      <w:r w:rsidRPr="00B9507F">
        <w:t>、</w:t>
      </w:r>
      <w:r w:rsidRPr="00B9507F">
        <w:t>II</w:t>
      </w:r>
      <w:r w:rsidRPr="00B9507F">
        <w:t>、</w:t>
      </w:r>
      <w:r w:rsidRPr="00B9507F">
        <w:t>III</w:t>
      </w:r>
      <w:r w:rsidRPr="00B9507F">
        <w:t>、</w:t>
      </w:r>
      <w:r w:rsidRPr="00B9507F">
        <w:t>IV</w:t>
      </w:r>
      <w:r w:rsidRPr="00B9507F">
        <w:t>または</w:t>
      </w:r>
      <w:r w:rsidRPr="00B9507F">
        <w:t>V</w:t>
      </w:r>
      <w:r w:rsidRPr="00B9507F">
        <w:t>に記載されている。</w:t>
      </w:r>
    </w:p>
    <w:p w14:paraId="6CAF3642" w14:textId="77777777" w:rsidR="00B9507F" w:rsidRPr="00B9507F" w:rsidRDefault="00B9507F" w:rsidP="00B9507F">
      <w:pPr>
        <w:numPr>
          <w:ilvl w:val="0"/>
          <w:numId w:val="4"/>
        </w:numPr>
      </w:pPr>
      <w:hyperlink r:id="rId9" w:history="1">
        <w:r w:rsidRPr="00B9507F">
          <w:rPr>
            <w:rStyle w:val="a3"/>
          </w:rPr>
          <w:t>処方薬リスト</w:t>
        </w:r>
      </w:hyperlink>
      <w:r w:rsidRPr="00B9507F">
        <w:t>に記載されている。</w:t>
      </w:r>
    </w:p>
    <w:p w14:paraId="18C1687B" w14:textId="77777777" w:rsidR="00B9507F" w:rsidRPr="00B9507F" w:rsidRDefault="00B9507F" w:rsidP="00B9507F">
      <w:pPr>
        <w:numPr>
          <w:ilvl w:val="0"/>
          <w:numId w:val="4"/>
        </w:numPr>
      </w:pPr>
      <w:hyperlink r:id="rId10" w:history="1">
        <w:r w:rsidRPr="00B9507F">
          <w:rPr>
            <w:rStyle w:val="a3"/>
          </w:rPr>
          <w:t>Food and Drugs Act (FDA)</w:t>
        </w:r>
      </w:hyperlink>
    </w:p>
    <w:p w14:paraId="68D9D87E" w14:textId="5554CFEE" w:rsidR="00B9507F" w:rsidRPr="00B9507F" w:rsidRDefault="00B9507F" w:rsidP="00B9507F">
      <w:pPr>
        <w:numPr>
          <w:ilvl w:val="1"/>
          <w:numId w:val="4"/>
        </w:numPr>
      </w:pPr>
      <w:r w:rsidRPr="00B9507F">
        <w:t>放射性医薬品および生物学的製剤として知られている</w:t>
      </w:r>
      <w:r w:rsidRPr="00B9507F">
        <w:t>Schedules C</w:t>
      </w:r>
      <w:r w:rsidRPr="00B9507F">
        <w:t>および</w:t>
      </w:r>
      <w:r w:rsidRPr="00B9507F">
        <w:t>D</w:t>
      </w:r>
      <w:r w:rsidRPr="00B9507F">
        <w:t>に記載されている。</w:t>
      </w:r>
    </w:p>
    <w:p w14:paraId="7CEF88AF" w14:textId="77777777" w:rsidR="00B9507F" w:rsidRPr="00B9507F" w:rsidRDefault="00B9507F" w:rsidP="00B9507F">
      <w:pPr>
        <w:numPr>
          <w:ilvl w:val="1"/>
          <w:numId w:val="4"/>
        </w:numPr>
      </w:pPr>
      <w:r w:rsidRPr="00B9507F">
        <w:lastRenderedPageBreak/>
        <w:t>一般的に「医療用」医薬品と呼ばれるもの（例えば、血液透析液、重度のアレルギー反応用のエピネフリン入りプレフィルドシリンジ、</w:t>
      </w:r>
      <w:r w:rsidRPr="00B9507F">
        <w:t>MRI</w:t>
      </w:r>
      <w:r w:rsidRPr="00B9507F">
        <w:t>造影剤など）</w:t>
      </w:r>
    </w:p>
    <w:p w14:paraId="0C5B9CAF" w14:textId="77777777" w:rsidR="00B9507F" w:rsidRPr="00B9507F" w:rsidRDefault="00B9507F" w:rsidP="00B9507F">
      <w:pPr>
        <w:pStyle w:val="a5"/>
        <w:numPr>
          <w:ilvl w:val="0"/>
          <w:numId w:val="6"/>
        </w:numPr>
        <w:ind w:leftChars="0"/>
      </w:pPr>
      <w:r w:rsidRPr="00B9507F">
        <w:t>一般的に「医療用」医薬品と呼ばれるもの（例えば、血液透析液、重度のアレルギー反応用のエピネフリン入りプレフィルドシリンジ、</w:t>
      </w:r>
      <w:r w:rsidRPr="00B9507F">
        <w:t>MRI</w:t>
      </w:r>
      <w:r w:rsidRPr="00B9507F">
        <w:t>造影剤など）</w:t>
      </w:r>
    </w:p>
    <w:p w14:paraId="3196A9D6" w14:textId="77777777" w:rsidR="00B9507F" w:rsidRPr="00B9507F" w:rsidRDefault="00B9507F" w:rsidP="00B9507F">
      <w:r w:rsidRPr="00B9507F">
        <w:t>Health Canda</w:t>
      </w:r>
      <w:r w:rsidRPr="00B9507F">
        <w:t>は、規制が</w:t>
      </w:r>
      <w:r w:rsidRPr="00B9507F">
        <w:rPr>
          <w:i/>
          <w:iCs/>
        </w:rPr>
        <w:t>カナダ公報</w:t>
      </w:r>
      <w:r w:rsidRPr="00B9507F">
        <w:t>第</w:t>
      </w:r>
      <w:r w:rsidRPr="00B9507F">
        <w:t>2</w:t>
      </w:r>
      <w:r w:rsidRPr="00B9507F">
        <w:t>部に掲載された後、拡大範囲リストに追加される特定の医薬品について別途協議を行う。</w:t>
      </w:r>
      <w:r w:rsidRPr="00B9507F">
        <w:t xml:space="preserve"> </w:t>
      </w:r>
      <w:r w:rsidRPr="00B9507F">
        <w:t>リストに追加される可能性のある医薬品の種類の例としては、以下が挙げられる：</w:t>
      </w:r>
    </w:p>
    <w:p w14:paraId="7BFE3C6C" w14:textId="77777777" w:rsidR="00B9507F" w:rsidRPr="00B9507F" w:rsidRDefault="00B9507F" w:rsidP="00B9507F">
      <w:pPr>
        <w:numPr>
          <w:ilvl w:val="0"/>
          <w:numId w:val="5"/>
        </w:numPr>
      </w:pPr>
      <w:r w:rsidRPr="00B9507F">
        <w:t>小児用鎮痛薬</w:t>
      </w:r>
    </w:p>
    <w:p w14:paraId="6360F896" w14:textId="77777777" w:rsidR="00B9507F" w:rsidRDefault="00B9507F" w:rsidP="00B9507F">
      <w:pPr>
        <w:numPr>
          <w:ilvl w:val="0"/>
          <w:numId w:val="5"/>
        </w:numPr>
      </w:pPr>
      <w:r w:rsidRPr="00B9507F">
        <w:t>アセチルサリチル酸を血小板凝集抑制剤として販売または推奨する場合</w:t>
      </w:r>
    </w:p>
    <w:p w14:paraId="1BCD1BF9" w14:textId="77777777" w:rsidR="00992C68" w:rsidRPr="00B9507F" w:rsidRDefault="00992C68" w:rsidP="00992C68">
      <w:pPr>
        <w:ind w:left="720"/>
        <w:rPr>
          <w:rFonts w:hint="eastAsia"/>
        </w:rPr>
      </w:pPr>
    </w:p>
    <w:p w14:paraId="1A2D8E5A" w14:textId="77777777" w:rsidR="00B9507F" w:rsidRPr="00B9507F" w:rsidRDefault="00B9507F" w:rsidP="00B9507F">
      <w:pPr>
        <w:rPr>
          <w:b/>
          <w:bCs/>
        </w:rPr>
      </w:pPr>
      <w:r w:rsidRPr="00B9507F">
        <w:rPr>
          <w:b/>
          <w:bCs/>
        </w:rPr>
        <w:t>リストの維持方法</w:t>
      </w:r>
    </w:p>
    <w:p w14:paraId="60BACFD6" w14:textId="77777777" w:rsidR="00B9507F" w:rsidRPr="00B9507F" w:rsidRDefault="00B9507F" w:rsidP="00B9507F">
      <w:r w:rsidRPr="00B9507F">
        <w:t>このリストは、提案された規制の中で参照により組み込まれる。</w:t>
      </w:r>
      <w:r w:rsidRPr="00B9507F">
        <w:t xml:space="preserve"> </w:t>
      </w:r>
      <w:r w:rsidRPr="00B9507F">
        <w:t>カナダ保健省は、</w:t>
      </w:r>
      <w:hyperlink r:id="rId11" w:history="1">
        <w:r w:rsidRPr="00B9507F">
          <w:rPr>
            <w:rStyle w:val="a3"/>
          </w:rPr>
          <w:t>参照による取り込み方針</w:t>
        </w:r>
      </w:hyperlink>
      <w:r w:rsidRPr="00B9507F">
        <w:t>に沿って、必要に応じてこのリストを維持・更新する。</w:t>
      </w:r>
    </w:p>
    <w:p w14:paraId="6CCB3F91" w14:textId="59DCFC95" w:rsidR="00B9507F" w:rsidRPr="00B9507F" w:rsidRDefault="00B9507F" w:rsidP="00992C68">
      <w:pPr>
        <w:rPr>
          <w:b/>
          <w:bCs/>
        </w:rPr>
      </w:pPr>
      <w:r w:rsidRPr="00B9507F">
        <w:t>参照による取り込みの方針プロセスを通じて拡張スコープリストに加えられた変更は、規制対象者が新たな要件に準拠するための時間を与える形で実施されます。</w:t>
      </w:r>
      <w:r w:rsidRPr="00B9507F">
        <w:t xml:space="preserve"> </w:t>
      </w:r>
      <w:r w:rsidRPr="00B9507F">
        <w:t>製造販売業者（</w:t>
      </w:r>
      <w:r w:rsidRPr="00B9507F">
        <w:t>MAH</w:t>
      </w:r>
      <w:r w:rsidRPr="00B9507F">
        <w:t>）や医薬品製造販売業者（</w:t>
      </w:r>
      <w:r w:rsidRPr="00B9507F">
        <w:t>DEL</w:t>
      </w:r>
      <w:r w:rsidRPr="00B9507F">
        <w:t>）を含む関係者は、パブリックコンサルテーションに参加することが強く推奨される。</w:t>
      </w:r>
    </w:p>
    <w:p w14:paraId="73C80540" w14:textId="77777777" w:rsidR="00F422A4" w:rsidRDefault="00F422A4">
      <w:pPr>
        <w:rPr>
          <w:rFonts w:hint="eastAsia"/>
        </w:rPr>
      </w:pPr>
    </w:p>
    <w:sectPr w:rsidR="00F422A4" w:rsidSect="00F422A4">
      <w:pgSz w:w="11906" w:h="16838" w:code="9"/>
      <w:pgMar w:top="1418" w:right="1418" w:bottom="1418" w:left="1418" w:header="851" w:footer="992" w:gutter="0"/>
      <w:cols w:space="425"/>
      <w:docGrid w:type="linesAndChars" w:linePitch="311"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E0E"/>
    <w:multiLevelType w:val="hybridMultilevel"/>
    <w:tmpl w:val="1BC815B6"/>
    <w:lvl w:ilvl="0" w:tplc="0409000B">
      <w:start w:val="1"/>
      <w:numFmt w:val="bullet"/>
      <w:lvlText w:val=""/>
      <w:lvlJc w:val="left"/>
      <w:pPr>
        <w:ind w:left="2600" w:hanging="440"/>
      </w:pPr>
      <w:rPr>
        <w:rFonts w:ascii="Wingdings" w:hAnsi="Wingdings" w:hint="default"/>
      </w:rPr>
    </w:lvl>
    <w:lvl w:ilvl="1" w:tplc="0409000B" w:tentative="1">
      <w:start w:val="1"/>
      <w:numFmt w:val="bullet"/>
      <w:lvlText w:val=""/>
      <w:lvlJc w:val="left"/>
      <w:pPr>
        <w:ind w:left="3040" w:hanging="440"/>
      </w:pPr>
      <w:rPr>
        <w:rFonts w:ascii="Wingdings" w:hAnsi="Wingdings" w:hint="default"/>
      </w:rPr>
    </w:lvl>
    <w:lvl w:ilvl="2" w:tplc="0409000D" w:tentative="1">
      <w:start w:val="1"/>
      <w:numFmt w:val="bullet"/>
      <w:lvlText w:val=""/>
      <w:lvlJc w:val="left"/>
      <w:pPr>
        <w:ind w:left="3480" w:hanging="440"/>
      </w:pPr>
      <w:rPr>
        <w:rFonts w:ascii="Wingdings" w:hAnsi="Wingdings" w:hint="default"/>
      </w:rPr>
    </w:lvl>
    <w:lvl w:ilvl="3" w:tplc="04090001" w:tentative="1">
      <w:start w:val="1"/>
      <w:numFmt w:val="bullet"/>
      <w:lvlText w:val=""/>
      <w:lvlJc w:val="left"/>
      <w:pPr>
        <w:ind w:left="3920" w:hanging="440"/>
      </w:pPr>
      <w:rPr>
        <w:rFonts w:ascii="Wingdings" w:hAnsi="Wingdings" w:hint="default"/>
      </w:rPr>
    </w:lvl>
    <w:lvl w:ilvl="4" w:tplc="0409000B" w:tentative="1">
      <w:start w:val="1"/>
      <w:numFmt w:val="bullet"/>
      <w:lvlText w:val=""/>
      <w:lvlJc w:val="left"/>
      <w:pPr>
        <w:ind w:left="4360" w:hanging="440"/>
      </w:pPr>
      <w:rPr>
        <w:rFonts w:ascii="Wingdings" w:hAnsi="Wingdings" w:hint="default"/>
      </w:rPr>
    </w:lvl>
    <w:lvl w:ilvl="5" w:tplc="0409000D" w:tentative="1">
      <w:start w:val="1"/>
      <w:numFmt w:val="bullet"/>
      <w:lvlText w:val=""/>
      <w:lvlJc w:val="left"/>
      <w:pPr>
        <w:ind w:left="4800" w:hanging="440"/>
      </w:pPr>
      <w:rPr>
        <w:rFonts w:ascii="Wingdings" w:hAnsi="Wingdings" w:hint="default"/>
      </w:rPr>
    </w:lvl>
    <w:lvl w:ilvl="6" w:tplc="04090001" w:tentative="1">
      <w:start w:val="1"/>
      <w:numFmt w:val="bullet"/>
      <w:lvlText w:val=""/>
      <w:lvlJc w:val="left"/>
      <w:pPr>
        <w:ind w:left="5240" w:hanging="440"/>
      </w:pPr>
      <w:rPr>
        <w:rFonts w:ascii="Wingdings" w:hAnsi="Wingdings" w:hint="default"/>
      </w:rPr>
    </w:lvl>
    <w:lvl w:ilvl="7" w:tplc="0409000B" w:tentative="1">
      <w:start w:val="1"/>
      <w:numFmt w:val="bullet"/>
      <w:lvlText w:val=""/>
      <w:lvlJc w:val="left"/>
      <w:pPr>
        <w:ind w:left="5680" w:hanging="440"/>
      </w:pPr>
      <w:rPr>
        <w:rFonts w:ascii="Wingdings" w:hAnsi="Wingdings" w:hint="default"/>
      </w:rPr>
    </w:lvl>
    <w:lvl w:ilvl="8" w:tplc="0409000D" w:tentative="1">
      <w:start w:val="1"/>
      <w:numFmt w:val="bullet"/>
      <w:lvlText w:val=""/>
      <w:lvlJc w:val="left"/>
      <w:pPr>
        <w:ind w:left="6120" w:hanging="440"/>
      </w:pPr>
      <w:rPr>
        <w:rFonts w:ascii="Wingdings" w:hAnsi="Wingdings" w:hint="default"/>
      </w:rPr>
    </w:lvl>
  </w:abstractNum>
  <w:abstractNum w:abstractNumId="1" w15:restartNumberingAfterBreak="0">
    <w:nsid w:val="1C423CB0"/>
    <w:multiLevelType w:val="multilevel"/>
    <w:tmpl w:val="D616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B6297"/>
    <w:multiLevelType w:val="hybridMultilevel"/>
    <w:tmpl w:val="EA36BB68"/>
    <w:lvl w:ilvl="0" w:tplc="9B3CE1D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924361"/>
    <w:multiLevelType w:val="multilevel"/>
    <w:tmpl w:val="48EA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A7BB6"/>
    <w:multiLevelType w:val="hybridMultilevel"/>
    <w:tmpl w:val="DF0EC00E"/>
    <w:lvl w:ilvl="0" w:tplc="7086613E">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1F5592"/>
    <w:multiLevelType w:val="multilevel"/>
    <w:tmpl w:val="080AA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A736B"/>
    <w:multiLevelType w:val="multilevel"/>
    <w:tmpl w:val="645A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E1F58"/>
    <w:multiLevelType w:val="multilevel"/>
    <w:tmpl w:val="3FFAA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057969">
    <w:abstractNumId w:val="7"/>
  </w:num>
  <w:num w:numId="2" w16cid:durableId="1175924032">
    <w:abstractNumId w:val="1"/>
  </w:num>
  <w:num w:numId="3" w16cid:durableId="789007337">
    <w:abstractNumId w:val="3"/>
  </w:num>
  <w:num w:numId="4" w16cid:durableId="72513560">
    <w:abstractNumId w:val="5"/>
  </w:num>
  <w:num w:numId="5" w16cid:durableId="679309798">
    <w:abstractNumId w:val="6"/>
  </w:num>
  <w:num w:numId="6" w16cid:durableId="1059524044">
    <w:abstractNumId w:val="0"/>
  </w:num>
  <w:num w:numId="7" w16cid:durableId="57559155">
    <w:abstractNumId w:val="2"/>
  </w:num>
  <w:num w:numId="8" w16cid:durableId="2120644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A4"/>
    <w:rsid w:val="00304F66"/>
    <w:rsid w:val="005D28FD"/>
    <w:rsid w:val="006B1081"/>
    <w:rsid w:val="00992C68"/>
    <w:rsid w:val="009E578E"/>
    <w:rsid w:val="00B9507F"/>
    <w:rsid w:val="00F422A4"/>
    <w:rsid w:val="00FD4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4B7D9E"/>
  <w15:chartTrackingRefBased/>
  <w15:docId w15:val="{0E54C275-9827-4D85-B511-B53B8ADA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2A4"/>
    <w:pPr>
      <w:widowControl w:val="0"/>
    </w:pPr>
    <w:rPr>
      <w:rFonts w:ascii="Times New Roman" w:eastAsia="ＭＳ Ｐ明朝" w:hAnsi="Times New Roman"/>
      <w:sz w:val="21"/>
    </w:rPr>
  </w:style>
  <w:style w:type="paragraph" w:styleId="1">
    <w:name w:val="heading 1"/>
    <w:basedOn w:val="a"/>
    <w:next w:val="a"/>
    <w:link w:val="10"/>
    <w:uiPriority w:val="9"/>
    <w:qFormat/>
    <w:rsid w:val="00F422A4"/>
    <w:pPr>
      <w:keepNext/>
      <w:outlineLvl w:val="0"/>
    </w:pPr>
    <w:rPr>
      <w:rFonts w:asciiTheme="majorHAnsi" w:eastAsiaTheme="majorEastAsia" w:hAnsiTheme="majorHAnsi" w:cstheme="majorBidi"/>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22A4"/>
    <w:rPr>
      <w:rFonts w:asciiTheme="majorHAnsi" w:eastAsiaTheme="majorEastAsia" w:hAnsiTheme="majorHAnsi" w:cstheme="majorBidi"/>
      <w:sz w:val="24"/>
    </w:rPr>
  </w:style>
  <w:style w:type="character" w:styleId="a3">
    <w:name w:val="Hyperlink"/>
    <w:basedOn w:val="a0"/>
    <w:uiPriority w:val="99"/>
    <w:unhideWhenUsed/>
    <w:rsid w:val="00F422A4"/>
    <w:rPr>
      <w:color w:val="467886" w:themeColor="hyperlink"/>
      <w:u w:val="single"/>
    </w:rPr>
  </w:style>
  <w:style w:type="character" w:styleId="a4">
    <w:name w:val="Unresolved Mention"/>
    <w:basedOn w:val="a0"/>
    <w:uiPriority w:val="99"/>
    <w:semiHidden/>
    <w:unhideWhenUsed/>
    <w:rsid w:val="00F422A4"/>
    <w:rPr>
      <w:color w:val="605E5C"/>
      <w:shd w:val="clear" w:color="auto" w:fill="E1DFDD"/>
    </w:rPr>
  </w:style>
  <w:style w:type="paragraph" w:styleId="a5">
    <w:name w:val="List Paragraph"/>
    <w:basedOn w:val="a"/>
    <w:uiPriority w:val="34"/>
    <w:qFormat/>
    <w:rsid w:val="00B950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04072">
      <w:bodyDiv w:val="1"/>
      <w:marLeft w:val="0"/>
      <w:marRight w:val="0"/>
      <w:marTop w:val="0"/>
      <w:marBottom w:val="0"/>
      <w:divBdr>
        <w:top w:val="none" w:sz="0" w:space="0" w:color="auto"/>
        <w:left w:val="none" w:sz="0" w:space="0" w:color="auto"/>
        <w:bottom w:val="none" w:sz="0" w:space="0" w:color="auto"/>
        <w:right w:val="none" w:sz="0" w:space="0" w:color="auto"/>
      </w:divBdr>
    </w:div>
    <w:div w:id="635070528">
      <w:bodyDiv w:val="1"/>
      <w:marLeft w:val="0"/>
      <w:marRight w:val="0"/>
      <w:marTop w:val="0"/>
      <w:marBottom w:val="0"/>
      <w:divBdr>
        <w:top w:val="none" w:sz="0" w:space="0" w:color="auto"/>
        <w:left w:val="none" w:sz="0" w:space="0" w:color="auto"/>
        <w:bottom w:val="none" w:sz="0" w:space="0" w:color="auto"/>
        <w:right w:val="none" w:sz="0" w:space="0" w:color="auto"/>
      </w:divBdr>
    </w:div>
    <w:div w:id="1036659747">
      <w:bodyDiv w:val="1"/>
      <w:marLeft w:val="0"/>
      <w:marRight w:val="0"/>
      <w:marTop w:val="0"/>
      <w:marBottom w:val="0"/>
      <w:divBdr>
        <w:top w:val="none" w:sz="0" w:space="0" w:color="auto"/>
        <w:left w:val="none" w:sz="0" w:space="0" w:color="auto"/>
        <w:bottom w:val="none" w:sz="0" w:space="0" w:color="auto"/>
        <w:right w:val="none" w:sz="0" w:space="0" w:color="auto"/>
      </w:divBdr>
      <w:divsChild>
        <w:div w:id="1374499217">
          <w:marLeft w:val="0"/>
          <w:marRight w:val="0"/>
          <w:marTop w:val="0"/>
          <w:marBottom w:val="0"/>
          <w:divBdr>
            <w:top w:val="none" w:sz="0" w:space="0" w:color="auto"/>
            <w:left w:val="none" w:sz="0" w:space="0" w:color="auto"/>
            <w:bottom w:val="none" w:sz="0" w:space="0" w:color="auto"/>
            <w:right w:val="none" w:sz="0" w:space="0" w:color="auto"/>
          </w:divBdr>
          <w:divsChild>
            <w:div w:id="1562403135">
              <w:marLeft w:val="0"/>
              <w:marRight w:val="0"/>
              <w:marTop w:val="0"/>
              <w:marBottom w:val="300"/>
              <w:divBdr>
                <w:top w:val="single" w:sz="6" w:space="14" w:color="E3E3E3"/>
                <w:left w:val="single" w:sz="6" w:space="14" w:color="E3E3E3"/>
                <w:bottom w:val="single" w:sz="6" w:space="14" w:color="E3E3E3"/>
                <w:right w:val="single" w:sz="6" w:space="14" w:color="E3E3E3"/>
              </w:divBdr>
            </w:div>
            <w:div w:id="1320420521">
              <w:marLeft w:val="0"/>
              <w:marRight w:val="0"/>
              <w:marTop w:val="0"/>
              <w:marBottom w:val="0"/>
              <w:divBdr>
                <w:top w:val="none" w:sz="0" w:space="0" w:color="auto"/>
                <w:left w:val="none" w:sz="0" w:space="0" w:color="auto"/>
                <w:bottom w:val="none" w:sz="0" w:space="0" w:color="auto"/>
                <w:right w:val="none" w:sz="0" w:space="0" w:color="auto"/>
              </w:divBdr>
            </w:div>
          </w:divsChild>
        </w:div>
        <w:div w:id="1671449266">
          <w:marLeft w:val="0"/>
          <w:marRight w:val="0"/>
          <w:marTop w:val="0"/>
          <w:marBottom w:val="0"/>
          <w:divBdr>
            <w:top w:val="none" w:sz="0" w:space="0" w:color="auto"/>
            <w:left w:val="none" w:sz="0" w:space="0" w:color="auto"/>
            <w:bottom w:val="none" w:sz="0" w:space="0" w:color="auto"/>
            <w:right w:val="none" w:sz="0" w:space="0" w:color="auto"/>
          </w:divBdr>
          <w:divsChild>
            <w:div w:id="768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37107">
      <w:bodyDiv w:val="1"/>
      <w:marLeft w:val="0"/>
      <w:marRight w:val="0"/>
      <w:marTop w:val="0"/>
      <w:marBottom w:val="0"/>
      <w:divBdr>
        <w:top w:val="none" w:sz="0" w:space="0" w:color="auto"/>
        <w:left w:val="none" w:sz="0" w:space="0" w:color="auto"/>
        <w:bottom w:val="none" w:sz="0" w:space="0" w:color="auto"/>
        <w:right w:val="none" w:sz="0" w:space="0" w:color="auto"/>
      </w:divBdr>
    </w:div>
    <w:div w:id="1593512209">
      <w:bodyDiv w:val="1"/>
      <w:marLeft w:val="0"/>
      <w:marRight w:val="0"/>
      <w:marTop w:val="0"/>
      <w:marBottom w:val="0"/>
      <w:divBdr>
        <w:top w:val="none" w:sz="0" w:space="0" w:color="auto"/>
        <w:left w:val="none" w:sz="0" w:space="0" w:color="auto"/>
        <w:bottom w:val="none" w:sz="0" w:space="0" w:color="auto"/>
        <w:right w:val="none" w:sz="0" w:space="0" w:color="auto"/>
      </w:divBdr>
    </w:div>
    <w:div w:id="2024700466">
      <w:bodyDiv w:val="1"/>
      <w:marLeft w:val="0"/>
      <w:marRight w:val="0"/>
      <w:marTop w:val="0"/>
      <w:marBottom w:val="0"/>
      <w:divBdr>
        <w:top w:val="none" w:sz="0" w:space="0" w:color="auto"/>
        <w:left w:val="none" w:sz="0" w:space="0" w:color="auto"/>
        <w:bottom w:val="none" w:sz="0" w:space="0" w:color="auto"/>
        <w:right w:val="none" w:sz="0" w:space="0" w:color="auto"/>
      </w:divBdr>
      <w:divsChild>
        <w:div w:id="237524466">
          <w:marLeft w:val="0"/>
          <w:marRight w:val="0"/>
          <w:marTop w:val="0"/>
          <w:marBottom w:val="0"/>
          <w:divBdr>
            <w:top w:val="none" w:sz="0" w:space="0" w:color="auto"/>
            <w:left w:val="none" w:sz="0" w:space="0" w:color="auto"/>
            <w:bottom w:val="none" w:sz="0" w:space="0" w:color="auto"/>
            <w:right w:val="none" w:sz="0" w:space="0" w:color="auto"/>
          </w:divBdr>
          <w:divsChild>
            <w:div w:id="700130381">
              <w:marLeft w:val="0"/>
              <w:marRight w:val="0"/>
              <w:marTop w:val="0"/>
              <w:marBottom w:val="300"/>
              <w:divBdr>
                <w:top w:val="single" w:sz="6" w:space="14" w:color="E3E3E3"/>
                <w:left w:val="single" w:sz="6" w:space="14" w:color="E3E3E3"/>
                <w:bottom w:val="single" w:sz="6" w:space="14" w:color="E3E3E3"/>
                <w:right w:val="single" w:sz="6" w:space="14" w:color="E3E3E3"/>
              </w:divBdr>
            </w:div>
            <w:div w:id="1500341902">
              <w:marLeft w:val="0"/>
              <w:marRight w:val="0"/>
              <w:marTop w:val="0"/>
              <w:marBottom w:val="0"/>
              <w:divBdr>
                <w:top w:val="none" w:sz="0" w:space="0" w:color="auto"/>
                <w:left w:val="none" w:sz="0" w:space="0" w:color="auto"/>
                <w:bottom w:val="none" w:sz="0" w:space="0" w:color="auto"/>
                <w:right w:val="none" w:sz="0" w:space="0" w:color="auto"/>
              </w:divBdr>
            </w:div>
          </w:divsChild>
        </w:div>
        <w:div w:id="1838837681">
          <w:marLeft w:val="0"/>
          <w:marRight w:val="0"/>
          <w:marTop w:val="0"/>
          <w:marBottom w:val="0"/>
          <w:divBdr>
            <w:top w:val="none" w:sz="0" w:space="0" w:color="auto"/>
            <w:left w:val="none" w:sz="0" w:space="0" w:color="auto"/>
            <w:bottom w:val="none" w:sz="0" w:space="0" w:color="auto"/>
            <w:right w:val="none" w:sz="0" w:space="0" w:color="auto"/>
          </w:divBdr>
          <w:divsChild>
            <w:div w:id="15012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eng/acts/C-38.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nada.ca/en/health-canada/services/drugs-health-products/drug-products/drug-shortages/regulations-guidance/reporting-drug-shortages-discontinuation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s-lois.justice.gc.ca/eng/regulations/C.R.C.,_c._870/index.html" TargetMode="External"/><Relationship Id="rId11" Type="http://schemas.openxmlformats.org/officeDocument/2006/relationships/hyperlink" Target="https://www.canada.ca/en/health-canada/corporate/about-health-canada/legislation-guidelines/acts-regulations/incorporation-reference-policy.html" TargetMode="External"/><Relationship Id="rId5" Type="http://schemas.openxmlformats.org/officeDocument/2006/relationships/hyperlink" Target="https://www.canada.ca/en/health-canada/services/drugs-health-products/drug-products/drug-shortages/expanded-scope-list.html" TargetMode="External"/><Relationship Id="rId10" Type="http://schemas.openxmlformats.org/officeDocument/2006/relationships/hyperlink" Target="https://laws-lois.justice.gc.ca/eng/acts/f-27/" TargetMode="External"/><Relationship Id="rId4" Type="http://schemas.openxmlformats.org/officeDocument/2006/relationships/webSettings" Target="webSettings.xml"/><Relationship Id="rId9" Type="http://schemas.openxmlformats.org/officeDocument/2006/relationships/hyperlink" Target="https://hpr-rps.hres.ca/pdl.php?lang=e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SAKAMAKI Hiroyuki</dc:creator>
  <cp:keywords/>
  <dc:description/>
  <cp:lastModifiedBy>SAKAMAKI Hiroyuki</cp:lastModifiedBy>
  <cp:revision>2</cp:revision>
  <dcterms:created xsi:type="dcterms:W3CDTF">2025-01-13T08:03:00Z</dcterms:created>
  <dcterms:modified xsi:type="dcterms:W3CDTF">2025-01-13T08:17:00Z</dcterms:modified>
</cp:coreProperties>
</file>