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英国におけるジェネリック医薬品・バイオシミラーの価格形成と安定供給：制度整理</w:t>
      </w:r>
    </w:p>
    <w:p>
      <w:r>
        <w:t>英国では、低分子ジェネリック医薬品とバイオシミラーは、同じ後発医薬品であっても全く異なる制度設計の下で扱われている。</w:t>
        <w:br/>
        <w:br/>
        <w:t>低分子ジェネリック医薬品については、薬局が卸等から医薬品を自主的に購入し、NHSはDrug Tariffに基づき後払いで償還する仕組みが採られている。薬局がDrug Tariffの基準価格より安く仕入れた場合の差益は制度上容認されているが、想定される平均的なマージンについてはクロウバックにより一部回収される。さらに、高使用量ジェネリックについてはCategory Mを通じて薬価水準が事後的に調整され、市場全体として一定の薬局マージンが維持される設計となっている。一方で、Category Mは市場全体の平均を対象とする事後調整制度であり、原材料価格高騰や供給途絶といった短期的・個別的ショックには対応できないため、採算割れが生じた品目では供給縮小や撤退が起こり、不足が発生し得る。</w:t>
        <w:br/>
        <w:br/>
        <w:t>これに対し、バイオシミラーについては、薬局主導の価格競争やCategory Mの仕組みは原則として採用されていない。価格交渉および使用量の決定主体はNHSであり、ブランド別に契約が行われ、実際の購入価格は非公開である。インスリンはコミュニティ薬局で調剤される例外的なバイオ医薬品であるが、Drug Tariff上はブランド別に扱われ、自動代替や薬局主導の価格競争は認められていない。これは、生物学的製剤であることやデバイス差、安全性といった技術的理由というよりも、価格交渉力と使用量コントロールをNHSが一元的に担い、需要の予見性を高めることで安定供給を確保するという政策判断に基づくものである。</w:t>
        <w:br/>
        <w:br/>
        <w:t>総じて、英国の後発医薬品政策は、低分子ジェネリックにおいては価格競争を通じた効率化を、バイオシミラーにおいては使用量コントロールを通じた安定供給を重視する二層構造となっており、バイオシミラーのCategory M化が全面的に採用される可能性は低いと考えられる。</w:t>
      </w:r>
    </w:p>
    <w:p>
      <w:pPr>
        <w:pStyle w:val="Heading2"/>
      </w:pPr>
      <w:r>
        <w:t>主要出典</w:t>
      </w:r>
    </w:p>
    <w:p>
      <w:pPr>
        <w:pStyle w:val="ListBullet"/>
      </w:pPr>
      <w:r>
        <w:t>NHS Business Services Authority (NHSBSA). Drug Tariff.</w:t>
      </w:r>
    </w:p>
    <w:p>
      <w:pPr>
        <w:pStyle w:val="ListBullet"/>
      </w:pPr>
      <w:r>
        <w:t>Department of Health and Social Care (DHSC). Pharmaceutical Price Regulation Scheme (PPRS) / Voluntary Scheme for Branded Medicines Pricing, Access and Growth (VPAS).</w:t>
      </w:r>
    </w:p>
    <w:p>
      <w:pPr>
        <w:pStyle w:val="ListBullet"/>
      </w:pPr>
      <w:r>
        <w:t>Pharmaceutical Services Negotiating Committee (PSNC). Understanding Category M; Discount (Clawback) arrangements.</w:t>
      </w:r>
    </w:p>
    <w:p>
      <w:pPr>
        <w:pStyle w:val="ListBullet"/>
      </w:pPr>
      <w:r>
        <w:t>National Audit Office (NAO). Investigation into medicine shortages.</w:t>
      </w:r>
    </w:p>
    <w:p>
      <w:pPr>
        <w:pStyle w:val="ListBullet"/>
      </w:pPr>
      <w:r>
        <w:t>House of Commons Health and Social Care Committee. Medicines supply and shortages.</w:t>
      </w:r>
    </w:p>
    <w:p>
      <w:pPr>
        <w:pStyle w:val="ListBullet"/>
      </w:pPr>
      <w:r>
        <w:t>NHS England. Commissioning framework for biological medicines (including biosimilars).</w:t>
      </w:r>
    </w:p>
    <w:p>
      <w:pPr>
        <w:pStyle w:val="ListBullet"/>
      </w:pPr>
      <w:r>
        <w:t>NHS England. Best value biological medicines programme.</w:t>
      </w:r>
    </w:p>
    <w:p>
      <w:pPr>
        <w:pStyle w:val="ListBullet"/>
      </w:pPr>
      <w:r>
        <w:t>Medicines and Healthcare products Regulatory Agency (MHRA). Guidance on biosimilar medicines.</w:t>
      </w:r>
    </w:p>
    <w:p>
      <w:pPr>
        <w:pStyle w:val="ListBullet"/>
      </w:pPr>
      <w:r>
        <w:t>British National Formulary (BNF). Insulin preparations.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