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83D3D" w14:textId="77777777" w:rsidR="00D1041E" w:rsidRPr="00DE2140" w:rsidRDefault="00D1041E" w:rsidP="00530F3B">
      <w:pPr>
        <w:snapToGrid w:val="0"/>
        <w:spacing w:afterLines="50" w:after="120" w:line="240" w:lineRule="auto"/>
        <w:rPr>
          <w:rFonts w:ascii="Times New Roman" w:eastAsia="ＭＳ Ｐ明朝" w:hAnsi="Times New Roman" w:cs="Times New Roman"/>
          <w:b/>
          <w:bCs/>
          <w:sz w:val="32"/>
          <w:szCs w:val="36"/>
        </w:rPr>
      </w:pPr>
      <w:r w:rsidRPr="00DE2140">
        <w:rPr>
          <w:rFonts w:ascii="Times New Roman" w:eastAsia="ＭＳ Ｐ明朝" w:hAnsi="Times New Roman" w:cs="Times New Roman"/>
          <w:b/>
          <w:bCs/>
          <w:sz w:val="32"/>
          <w:szCs w:val="36"/>
        </w:rPr>
        <w:t>Health Technology Assessment Policy and Methods Review</w:t>
      </w:r>
    </w:p>
    <w:p w14:paraId="3CFB19D7" w14:textId="7892171D" w:rsidR="005D28FD" w:rsidRPr="00DE2140" w:rsidRDefault="00D1041E" w:rsidP="00530F3B">
      <w:pPr>
        <w:snapToGrid w:val="0"/>
        <w:spacing w:afterLines="50" w:after="120" w:line="240" w:lineRule="auto"/>
        <w:rPr>
          <w:rFonts w:ascii="Times New Roman" w:eastAsia="ＭＳ Ｐ明朝" w:hAnsi="Times New Roman" w:cs="Times New Roman"/>
          <w:b/>
          <w:bCs/>
          <w:sz w:val="28"/>
          <w:szCs w:val="32"/>
        </w:rPr>
      </w:pPr>
      <w:r w:rsidRPr="00DE2140">
        <w:rPr>
          <w:rFonts w:ascii="Times New Roman" w:eastAsia="ＭＳ Ｐ明朝" w:hAnsi="Times New Roman" w:cs="Times New Roman"/>
          <w:b/>
          <w:bCs/>
          <w:sz w:val="32"/>
          <w:szCs w:val="36"/>
        </w:rPr>
        <w:t>Emerging health technologies</w:t>
      </w:r>
    </w:p>
    <w:p w14:paraId="7EF452F5" w14:textId="77777777" w:rsidR="00D1041E" w:rsidRPr="00DE2140" w:rsidRDefault="00D1041E" w:rsidP="00DE2140">
      <w:pPr>
        <w:pStyle w:val="a7"/>
        <w:snapToGrid w:val="0"/>
        <w:spacing w:before="0" w:after="0" w:line="320" w:lineRule="atLeast"/>
        <w:ind w:hanging="142"/>
        <w:rPr>
          <w:rFonts w:ascii="Arial" w:eastAsia="ＭＳ Ｐ明朝" w:hAnsi="Arial" w:cs="Arial"/>
          <w:color w:val="0070C0"/>
          <w:sz w:val="32"/>
          <w:szCs w:val="32"/>
          <w:lang w:val="en-US"/>
        </w:rPr>
      </w:pPr>
    </w:p>
    <w:sdt>
      <w:sdtPr>
        <w:rPr>
          <w:rFonts w:ascii="Arial" w:eastAsia="ＭＳ Ｐ明朝" w:hAnsi="Arial" w:cs="Arial"/>
          <w:sz w:val="20"/>
          <w:szCs w:val="20"/>
          <w:lang w:val="en-GB"/>
        </w:rPr>
        <w:id w:val="11263538"/>
        <w:docPartObj>
          <w:docPartGallery w:val="Table of Contents"/>
          <w:docPartUnique/>
        </w:docPartObj>
      </w:sdtPr>
      <w:sdtEndPr>
        <w:rPr>
          <w:b/>
          <w:bCs/>
          <w:noProof/>
          <w:kern w:val="2"/>
          <w:szCs w:val="21"/>
          <w:lang w:val="en-US" w:eastAsia="ja-JP"/>
          <w14:ligatures w14:val="standardContextual"/>
        </w:rPr>
      </w:sdtEndPr>
      <w:sdtContent>
        <w:p w14:paraId="7E1F839A" w14:textId="77777777" w:rsidR="00D1041E" w:rsidRPr="00DE2140" w:rsidRDefault="00D1041E" w:rsidP="00DE2140">
          <w:pPr>
            <w:pStyle w:val="a6"/>
            <w:numPr>
              <w:ilvl w:val="0"/>
              <w:numId w:val="0"/>
            </w:numPr>
            <w:snapToGrid w:val="0"/>
            <w:spacing w:before="0" w:line="320" w:lineRule="atLeast"/>
            <w:rPr>
              <w:rFonts w:ascii="Arial" w:eastAsia="ＭＳ Ｐ明朝" w:hAnsi="Arial" w:cs="Arial"/>
              <w:b/>
              <w:bCs/>
              <w:sz w:val="24"/>
              <w:szCs w:val="24"/>
            </w:rPr>
          </w:pPr>
          <w:r w:rsidRPr="00DE2140">
            <w:rPr>
              <w:rFonts w:ascii="Arial" w:eastAsia="ＭＳ Ｐ明朝" w:hAnsi="Arial" w:cs="Arial"/>
              <w:b/>
              <w:bCs/>
              <w:sz w:val="24"/>
              <w:szCs w:val="24"/>
            </w:rPr>
            <w:t>Contents</w:t>
          </w:r>
        </w:p>
        <w:p w14:paraId="1A089BDD"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r w:rsidRPr="00DE2140">
            <w:rPr>
              <w:rFonts w:ascii="Arial" w:eastAsia="ＭＳ Ｐ明朝" w:hAnsi="Arial" w:cs="Arial"/>
              <w:sz w:val="20"/>
              <w:szCs w:val="20"/>
            </w:rPr>
            <w:fldChar w:fldCharType="begin"/>
          </w:r>
          <w:r w:rsidRPr="00DE2140">
            <w:rPr>
              <w:rFonts w:ascii="Arial" w:eastAsia="ＭＳ Ｐ明朝" w:hAnsi="Arial" w:cs="Arial"/>
              <w:sz w:val="20"/>
              <w:szCs w:val="20"/>
            </w:rPr>
            <w:instrText xml:space="preserve"> TOC \o "1-2" \h \z \u </w:instrText>
          </w:r>
          <w:r w:rsidRPr="00DE2140">
            <w:rPr>
              <w:rFonts w:ascii="Arial" w:eastAsia="ＭＳ Ｐ明朝" w:hAnsi="Arial" w:cs="Arial"/>
              <w:sz w:val="20"/>
              <w:szCs w:val="20"/>
            </w:rPr>
            <w:fldChar w:fldCharType="separate"/>
          </w:r>
          <w:hyperlink w:anchor="_Toc158900416" w:history="1">
            <w:r w:rsidRPr="00DE2140">
              <w:rPr>
                <w:rStyle w:val="a5"/>
                <w:rFonts w:ascii="Arial" w:eastAsia="ＭＳ Ｐ明朝" w:hAnsi="Arial" w:cs="Arial"/>
                <w:noProof/>
                <w:sz w:val="20"/>
                <w:szCs w:val="20"/>
              </w:rPr>
              <w:t>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Introduction</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_Toc158900416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w:t>
            </w:r>
            <w:r w:rsidRPr="00DE2140">
              <w:rPr>
                <w:rFonts w:ascii="Arial" w:eastAsia="ＭＳ Ｐ明朝" w:hAnsi="Arial" w:cs="Arial"/>
                <w:noProof/>
                <w:webHidden/>
                <w:sz w:val="20"/>
                <w:szCs w:val="20"/>
              </w:rPr>
              <w:fldChar w:fldCharType="end"/>
            </w:r>
          </w:hyperlink>
        </w:p>
        <w:p w14:paraId="57503CEF"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17" w:history="1">
            <w:r w:rsidRPr="00DE2140">
              <w:rPr>
                <w:rStyle w:val="a5"/>
                <w:rFonts w:ascii="Arial" w:eastAsia="ＭＳ Ｐ明朝" w:hAnsi="Arial" w:cs="Arial"/>
                <w:noProof/>
                <w:sz w:val="20"/>
                <w:szCs w:val="20"/>
              </w:rPr>
              <w:t>1.1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Purpose and structure of paper</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_Toc158900417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w:t>
            </w:r>
            <w:r w:rsidRPr="00DE2140">
              <w:rPr>
                <w:rFonts w:ascii="Arial" w:eastAsia="ＭＳ Ｐ明朝" w:hAnsi="Arial" w:cs="Arial"/>
                <w:noProof/>
                <w:webHidden/>
                <w:sz w:val="20"/>
                <w:szCs w:val="20"/>
              </w:rPr>
              <w:fldChar w:fldCharType="end"/>
            </w:r>
          </w:hyperlink>
        </w:p>
        <w:p w14:paraId="3C3E79E3"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18" w:history="1">
            <w:r w:rsidRPr="00DE2140">
              <w:rPr>
                <w:rStyle w:val="a5"/>
                <w:rFonts w:ascii="Arial" w:eastAsia="ＭＳ Ｐ明朝" w:hAnsi="Arial" w:cs="Arial"/>
                <w:noProof/>
                <w:sz w:val="20"/>
                <w:szCs w:val="20"/>
              </w:rPr>
              <w:t>1.2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Information sources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_Toc158900418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w:t>
            </w:r>
            <w:r w:rsidRPr="00DE2140">
              <w:rPr>
                <w:rFonts w:ascii="Arial" w:eastAsia="ＭＳ Ｐ明朝" w:hAnsi="Arial" w:cs="Arial"/>
                <w:noProof/>
                <w:webHidden/>
                <w:sz w:val="20"/>
                <w:szCs w:val="20"/>
              </w:rPr>
              <w:fldChar w:fldCharType="end"/>
            </w:r>
          </w:hyperlink>
        </w:p>
        <w:p w14:paraId="43D6C3DE"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19" w:history="1">
            <w:r w:rsidRPr="00DE2140">
              <w:rPr>
                <w:rStyle w:val="a5"/>
                <w:rFonts w:ascii="Arial" w:eastAsia="ＭＳ Ｐ明朝" w:hAnsi="Arial" w:cs="Arial"/>
                <w:noProof/>
                <w:sz w:val="20"/>
                <w:szCs w:val="20"/>
              </w:rPr>
              <w:t>1.3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Assessment and funding pathways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_Toc158900419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w:t>
            </w:r>
            <w:r w:rsidRPr="00DE2140">
              <w:rPr>
                <w:rFonts w:ascii="Arial" w:eastAsia="ＭＳ Ｐ明朝" w:hAnsi="Arial" w:cs="Arial"/>
                <w:noProof/>
                <w:webHidden/>
                <w:sz w:val="20"/>
                <w:szCs w:val="20"/>
              </w:rPr>
              <w:fldChar w:fldCharType="end"/>
            </w:r>
          </w:hyperlink>
        </w:p>
        <w:p w14:paraId="212503A7"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0" w:history="1">
            <w:r w:rsidRPr="00DE2140">
              <w:rPr>
                <w:rStyle w:val="a5"/>
                <w:rFonts w:ascii="Arial" w:eastAsia="ＭＳ Ｐ明朝" w:hAnsi="Arial" w:cs="Arial"/>
                <w:noProof/>
                <w:sz w:val="20"/>
                <w:szCs w:val="20"/>
              </w:rPr>
              <w:t>1.4</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Issues raised in relation to emerging technologies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_Toc158900420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11</w:t>
            </w:r>
            <w:r w:rsidRPr="00DE2140">
              <w:rPr>
                <w:rFonts w:ascii="Arial" w:eastAsia="ＭＳ Ｐ明朝" w:hAnsi="Arial" w:cs="Arial"/>
                <w:noProof/>
                <w:webHidden/>
                <w:sz w:val="20"/>
                <w:szCs w:val="20"/>
              </w:rPr>
              <w:fldChar w:fldCharType="end"/>
            </w:r>
          </w:hyperlink>
        </w:p>
        <w:p w14:paraId="2409D5A4"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1" w:history="1">
            <w:r w:rsidRPr="00DE2140">
              <w:rPr>
                <w:rStyle w:val="a5"/>
                <w:rFonts w:ascii="Arial" w:eastAsia="ＭＳ Ｐ明朝" w:hAnsi="Arial" w:cs="Arial"/>
                <w:noProof/>
                <w:sz w:val="20"/>
                <w:szCs w:val="20"/>
              </w:rPr>
              <w:t>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Advanced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_Toc158900421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13</w:t>
            </w:r>
            <w:r w:rsidRPr="00DE2140">
              <w:rPr>
                <w:rFonts w:ascii="Arial" w:eastAsia="ＭＳ Ｐ明朝" w:hAnsi="Arial" w:cs="Arial"/>
                <w:noProof/>
                <w:webHidden/>
                <w:sz w:val="20"/>
                <w:szCs w:val="20"/>
              </w:rPr>
              <w:fldChar w:fldCharType="end"/>
            </w:r>
          </w:hyperlink>
        </w:p>
        <w:p w14:paraId="2855C25B"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2" w:history="1">
            <w:r w:rsidRPr="00DE2140">
              <w:rPr>
                <w:rStyle w:val="a5"/>
                <w:rFonts w:ascii="Arial" w:eastAsia="ＭＳ Ｐ明朝" w:hAnsi="Arial" w:cs="Arial"/>
                <w:noProof/>
                <w:sz w:val="20"/>
                <w:szCs w:val="20"/>
              </w:rPr>
              <w:t>2.1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_Toc158900422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13</w:t>
            </w:r>
            <w:r w:rsidRPr="00DE2140">
              <w:rPr>
                <w:rFonts w:ascii="Arial" w:eastAsia="ＭＳ Ｐ明朝" w:hAnsi="Arial" w:cs="Arial"/>
                <w:noProof/>
                <w:webHidden/>
                <w:sz w:val="20"/>
                <w:szCs w:val="20"/>
              </w:rPr>
              <w:fldChar w:fldCharType="end"/>
            </w:r>
          </w:hyperlink>
        </w:p>
        <w:p w14:paraId="7D0DE55C"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3" w:history="1">
            <w:r w:rsidRPr="00DE2140">
              <w:rPr>
                <w:rStyle w:val="a5"/>
                <w:rFonts w:ascii="Arial" w:eastAsia="ＭＳ Ｐ明朝" w:hAnsi="Arial" w:cs="Arial"/>
                <w:noProof/>
                <w:sz w:val="20"/>
                <w:szCs w:val="20"/>
              </w:rPr>
              <w:t>2.2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 silencing oligonucleotides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_Toc158900423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16</w:t>
            </w:r>
            <w:r w:rsidRPr="00DE2140">
              <w:rPr>
                <w:rFonts w:ascii="Arial" w:eastAsia="ＭＳ Ｐ明朝" w:hAnsi="Arial" w:cs="Arial"/>
                <w:noProof/>
                <w:webHidden/>
                <w:sz w:val="20"/>
                <w:szCs w:val="20"/>
              </w:rPr>
              <w:fldChar w:fldCharType="end"/>
            </w:r>
          </w:hyperlink>
        </w:p>
        <w:p w14:paraId="1925057E"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4" w:history="1">
            <w:r w:rsidRPr="00DE2140">
              <w:rPr>
                <w:rStyle w:val="a5"/>
                <w:rFonts w:ascii="Arial" w:eastAsia="ＭＳ Ｐ明朝" w:hAnsi="Arial" w:cs="Arial"/>
                <w:noProof/>
                <w:sz w:val="20"/>
                <w:szCs w:val="20"/>
              </w:rPr>
              <w:t>2.3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 modified cell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_Toc158900424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18</w:t>
            </w:r>
            <w:r w:rsidRPr="00DE2140">
              <w:rPr>
                <w:rFonts w:ascii="Arial" w:eastAsia="ＭＳ Ｐ明朝" w:hAnsi="Arial" w:cs="Arial"/>
                <w:noProof/>
                <w:webHidden/>
                <w:sz w:val="20"/>
                <w:szCs w:val="20"/>
              </w:rPr>
              <w:fldChar w:fldCharType="end"/>
            </w:r>
          </w:hyperlink>
        </w:p>
        <w:p w14:paraId="3C506B0C"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5" w:history="1">
            <w:r w:rsidRPr="00DE2140">
              <w:rPr>
                <w:rStyle w:val="a5"/>
                <w:rFonts w:ascii="Arial" w:eastAsia="ＭＳ Ｐ明朝" w:hAnsi="Arial" w:cs="Arial"/>
                <w:noProof/>
                <w:sz w:val="20"/>
                <w:szCs w:val="20"/>
              </w:rPr>
              <w:t>2.4</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Challenges identified for assessment, funding, and implementation of advanced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_Toc158900425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22</w:t>
            </w:r>
            <w:r w:rsidRPr="00DE2140">
              <w:rPr>
                <w:rFonts w:ascii="Arial" w:eastAsia="ＭＳ Ｐ明朝" w:hAnsi="Arial" w:cs="Arial"/>
                <w:noProof/>
                <w:webHidden/>
                <w:sz w:val="20"/>
                <w:szCs w:val="20"/>
              </w:rPr>
              <w:fldChar w:fldCharType="end"/>
            </w:r>
          </w:hyperlink>
        </w:p>
        <w:p w14:paraId="74276EA4"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6" w:history="1">
            <w:r w:rsidRPr="00DE2140">
              <w:rPr>
                <w:rStyle w:val="a5"/>
                <w:rFonts w:ascii="Arial" w:eastAsia="ＭＳ Ｐ明朝" w:hAnsi="Arial" w:cs="Arial"/>
                <w:noProof/>
                <w:sz w:val="20"/>
                <w:szCs w:val="20"/>
              </w:rPr>
              <w:t>2.5</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Tumour-agnostic cancer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_Toc158900426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24</w:t>
            </w:r>
            <w:r w:rsidRPr="00DE2140">
              <w:rPr>
                <w:rFonts w:ascii="Arial" w:eastAsia="ＭＳ Ｐ明朝" w:hAnsi="Arial" w:cs="Arial"/>
                <w:noProof/>
                <w:webHidden/>
                <w:sz w:val="20"/>
                <w:szCs w:val="20"/>
              </w:rPr>
              <w:fldChar w:fldCharType="end"/>
            </w:r>
          </w:hyperlink>
        </w:p>
        <w:p w14:paraId="27CC8E21"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7" w:history="1">
            <w:r w:rsidRPr="00DE2140">
              <w:rPr>
                <w:rStyle w:val="a5"/>
                <w:rFonts w:ascii="Arial" w:eastAsia="ＭＳ Ｐ明朝" w:hAnsi="Arial" w:cs="Arial"/>
                <w:noProof/>
                <w:sz w:val="20"/>
                <w:szCs w:val="20"/>
              </w:rPr>
              <w:t>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Emerging antibody-based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_Toc158900427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28</w:t>
            </w:r>
            <w:r w:rsidRPr="00DE2140">
              <w:rPr>
                <w:rFonts w:ascii="Arial" w:eastAsia="ＭＳ Ｐ明朝" w:hAnsi="Arial" w:cs="Arial"/>
                <w:noProof/>
                <w:webHidden/>
                <w:sz w:val="20"/>
                <w:szCs w:val="20"/>
              </w:rPr>
              <w:fldChar w:fldCharType="end"/>
            </w:r>
          </w:hyperlink>
        </w:p>
        <w:p w14:paraId="6D7547E6"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8" w:history="1">
            <w:r w:rsidRPr="00DE2140">
              <w:rPr>
                <w:rStyle w:val="a5"/>
                <w:rFonts w:ascii="Arial" w:eastAsia="ＭＳ Ｐ明朝" w:hAnsi="Arial" w:cs="Arial"/>
                <w:noProof/>
                <w:sz w:val="20"/>
                <w:szCs w:val="20"/>
              </w:rPr>
              <w:t>3.1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Antibody-drug conjugates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_Toc158900428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28</w:t>
            </w:r>
            <w:r w:rsidRPr="00DE2140">
              <w:rPr>
                <w:rFonts w:ascii="Arial" w:eastAsia="ＭＳ Ｐ明朝" w:hAnsi="Arial" w:cs="Arial"/>
                <w:noProof/>
                <w:webHidden/>
                <w:sz w:val="20"/>
                <w:szCs w:val="20"/>
              </w:rPr>
              <w:fldChar w:fldCharType="end"/>
            </w:r>
          </w:hyperlink>
        </w:p>
        <w:p w14:paraId="4754406F"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29" w:history="1">
            <w:r w:rsidRPr="00DE2140">
              <w:rPr>
                <w:rStyle w:val="a5"/>
                <w:rFonts w:ascii="Arial" w:eastAsia="ＭＳ Ｐ明朝" w:hAnsi="Arial" w:cs="Arial"/>
                <w:noProof/>
                <w:sz w:val="20"/>
                <w:szCs w:val="20"/>
              </w:rPr>
              <w:t>3.2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Bi-specific antibodies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_Toc158900429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29</w:t>
            </w:r>
            <w:r w:rsidRPr="00DE2140">
              <w:rPr>
                <w:rFonts w:ascii="Arial" w:eastAsia="ＭＳ Ｐ明朝" w:hAnsi="Arial" w:cs="Arial"/>
                <w:noProof/>
                <w:webHidden/>
                <w:sz w:val="20"/>
                <w:szCs w:val="20"/>
              </w:rPr>
              <w:fldChar w:fldCharType="end"/>
            </w:r>
          </w:hyperlink>
        </w:p>
        <w:p w14:paraId="0638C229"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0" w:history="1">
            <w:r w:rsidRPr="00DE2140">
              <w:rPr>
                <w:rStyle w:val="a5"/>
                <w:rFonts w:ascii="Arial" w:eastAsia="ＭＳ Ｐ明朝" w:hAnsi="Arial" w:cs="Arial"/>
                <w:noProof/>
                <w:sz w:val="20"/>
                <w:szCs w:val="20"/>
              </w:rPr>
              <w:t>3.3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Monoclonal antibodies as passive immunisation strategy</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_Toc158900430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32</w:t>
            </w:r>
            <w:r w:rsidRPr="00DE2140">
              <w:rPr>
                <w:rFonts w:ascii="Arial" w:eastAsia="ＭＳ Ｐ明朝" w:hAnsi="Arial" w:cs="Arial"/>
                <w:noProof/>
                <w:webHidden/>
                <w:sz w:val="20"/>
                <w:szCs w:val="20"/>
              </w:rPr>
              <w:fldChar w:fldCharType="end"/>
            </w:r>
          </w:hyperlink>
        </w:p>
        <w:p w14:paraId="4A7D5E95"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1" w:history="1">
            <w:r w:rsidRPr="00DE2140">
              <w:rPr>
                <w:rStyle w:val="a5"/>
                <w:rFonts w:ascii="Arial" w:eastAsia="ＭＳ Ｐ明朝" w:hAnsi="Arial" w:cs="Arial"/>
                <w:noProof/>
                <w:sz w:val="20"/>
                <w:szCs w:val="20"/>
              </w:rPr>
              <w:t>4</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Other emerging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_Toc158900431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33</w:t>
            </w:r>
            <w:r w:rsidRPr="00DE2140">
              <w:rPr>
                <w:rFonts w:ascii="Arial" w:eastAsia="ＭＳ Ｐ明朝" w:hAnsi="Arial" w:cs="Arial"/>
                <w:noProof/>
                <w:webHidden/>
                <w:sz w:val="20"/>
                <w:szCs w:val="20"/>
              </w:rPr>
              <w:fldChar w:fldCharType="end"/>
            </w:r>
          </w:hyperlink>
        </w:p>
        <w:p w14:paraId="46A2631A"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2" w:history="1">
            <w:r w:rsidRPr="00DE2140">
              <w:rPr>
                <w:rStyle w:val="a5"/>
                <w:rFonts w:ascii="Arial" w:eastAsia="ＭＳ Ｐ明朝" w:hAnsi="Arial" w:cs="Arial"/>
                <w:noProof/>
                <w:sz w:val="20"/>
                <w:szCs w:val="20"/>
              </w:rPr>
              <w:t>4.1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Phage therapy</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_Toc158900432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33</w:t>
            </w:r>
            <w:r w:rsidRPr="00DE2140">
              <w:rPr>
                <w:rFonts w:ascii="Arial" w:eastAsia="ＭＳ Ｐ明朝" w:hAnsi="Arial" w:cs="Arial"/>
                <w:noProof/>
                <w:webHidden/>
                <w:sz w:val="20"/>
                <w:szCs w:val="20"/>
              </w:rPr>
              <w:fldChar w:fldCharType="end"/>
            </w:r>
          </w:hyperlink>
        </w:p>
        <w:p w14:paraId="5EC0C8A4"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3" w:history="1">
            <w:r w:rsidRPr="00DE2140">
              <w:rPr>
                <w:rStyle w:val="a5"/>
                <w:rFonts w:ascii="Arial" w:eastAsia="ＭＳ Ｐ明朝" w:hAnsi="Arial" w:cs="Arial"/>
                <w:noProof/>
                <w:sz w:val="20"/>
                <w:szCs w:val="20"/>
              </w:rPr>
              <w:t>4.2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Microbiome-based therapies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_Toc158900433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35</w:t>
            </w:r>
            <w:r w:rsidRPr="00DE2140">
              <w:rPr>
                <w:rFonts w:ascii="Arial" w:eastAsia="ＭＳ Ｐ明朝" w:hAnsi="Arial" w:cs="Arial"/>
                <w:noProof/>
                <w:webHidden/>
                <w:sz w:val="20"/>
                <w:szCs w:val="20"/>
              </w:rPr>
              <w:fldChar w:fldCharType="end"/>
            </w:r>
          </w:hyperlink>
        </w:p>
        <w:p w14:paraId="24DE2082"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4" w:history="1">
            <w:r w:rsidRPr="00DE2140">
              <w:rPr>
                <w:rStyle w:val="a5"/>
                <w:rFonts w:ascii="Arial" w:eastAsia="ＭＳ Ｐ明朝" w:hAnsi="Arial" w:cs="Arial"/>
                <w:noProof/>
                <w:sz w:val="20"/>
                <w:szCs w:val="20"/>
              </w:rPr>
              <w:t>4.3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Therapeutic Vaccines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_Toc158900434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37</w:t>
            </w:r>
            <w:r w:rsidRPr="00DE2140">
              <w:rPr>
                <w:rFonts w:ascii="Arial" w:eastAsia="ＭＳ Ｐ明朝" w:hAnsi="Arial" w:cs="Arial"/>
                <w:noProof/>
                <w:webHidden/>
                <w:sz w:val="20"/>
                <w:szCs w:val="20"/>
              </w:rPr>
              <w:fldChar w:fldCharType="end"/>
            </w:r>
          </w:hyperlink>
        </w:p>
        <w:p w14:paraId="7891E866"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5" w:history="1">
            <w:r w:rsidRPr="00DE2140">
              <w:rPr>
                <w:rStyle w:val="a5"/>
                <w:rFonts w:ascii="Arial" w:eastAsia="ＭＳ Ｐ明朝" w:hAnsi="Arial" w:cs="Arial"/>
                <w:noProof/>
                <w:sz w:val="20"/>
                <w:szCs w:val="20"/>
              </w:rPr>
              <w:t>4.4</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Emerging vaccine manufacturing technologies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_Toc158900435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37</w:t>
            </w:r>
            <w:r w:rsidRPr="00DE2140">
              <w:rPr>
                <w:rFonts w:ascii="Arial" w:eastAsia="ＭＳ Ｐ明朝" w:hAnsi="Arial" w:cs="Arial"/>
                <w:noProof/>
                <w:webHidden/>
                <w:sz w:val="20"/>
                <w:szCs w:val="20"/>
              </w:rPr>
              <w:fldChar w:fldCharType="end"/>
            </w:r>
          </w:hyperlink>
        </w:p>
        <w:p w14:paraId="108D94B5"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6" w:history="1">
            <w:r w:rsidRPr="00DE2140">
              <w:rPr>
                <w:rStyle w:val="a5"/>
                <w:rFonts w:ascii="Arial" w:eastAsia="ＭＳ Ｐ明朝" w:hAnsi="Arial" w:cs="Arial"/>
                <w:noProof/>
                <w:sz w:val="20"/>
                <w:szCs w:val="20"/>
              </w:rPr>
              <w:t>5</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Precision medicine: medicine linked genetic and genomic testing</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_Toc158900436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39</w:t>
            </w:r>
            <w:r w:rsidRPr="00DE2140">
              <w:rPr>
                <w:rFonts w:ascii="Arial" w:eastAsia="ＭＳ Ｐ明朝" w:hAnsi="Arial" w:cs="Arial"/>
                <w:noProof/>
                <w:webHidden/>
                <w:sz w:val="20"/>
                <w:szCs w:val="20"/>
              </w:rPr>
              <w:fldChar w:fldCharType="end"/>
            </w:r>
          </w:hyperlink>
        </w:p>
        <w:p w14:paraId="228E9CC7"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7" w:history="1">
            <w:r w:rsidRPr="00DE2140">
              <w:rPr>
                <w:rStyle w:val="a5"/>
                <w:rFonts w:ascii="Arial" w:eastAsia="ＭＳ Ｐ明朝" w:hAnsi="Arial" w:cs="Arial"/>
                <w:noProof/>
                <w:sz w:val="20"/>
                <w:szCs w:val="20"/>
              </w:rPr>
              <w:t>5.1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Genetic and genomic testing</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_Toc158900437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40</w:t>
            </w:r>
            <w:r w:rsidRPr="00DE2140">
              <w:rPr>
                <w:rFonts w:ascii="Arial" w:eastAsia="ＭＳ Ｐ明朝" w:hAnsi="Arial" w:cs="Arial"/>
                <w:noProof/>
                <w:webHidden/>
                <w:sz w:val="20"/>
                <w:szCs w:val="20"/>
              </w:rPr>
              <w:fldChar w:fldCharType="end"/>
            </w:r>
          </w:hyperlink>
        </w:p>
        <w:p w14:paraId="54213A89"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8" w:history="1">
            <w:r w:rsidRPr="00DE2140">
              <w:rPr>
                <w:rStyle w:val="a5"/>
                <w:rFonts w:ascii="Arial" w:eastAsia="ＭＳ Ｐ明朝" w:hAnsi="Arial" w:cs="Arial"/>
                <w:noProof/>
                <w:sz w:val="20"/>
                <w:szCs w:val="20"/>
              </w:rPr>
              <w:t>5.2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Genetic tests for detection of pathologic gene variants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_Toc158900438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42</w:t>
            </w:r>
            <w:r w:rsidRPr="00DE2140">
              <w:rPr>
                <w:rFonts w:ascii="Arial" w:eastAsia="ＭＳ Ｐ明朝" w:hAnsi="Arial" w:cs="Arial"/>
                <w:noProof/>
                <w:webHidden/>
                <w:sz w:val="20"/>
                <w:szCs w:val="20"/>
              </w:rPr>
              <w:fldChar w:fldCharType="end"/>
            </w:r>
          </w:hyperlink>
        </w:p>
        <w:p w14:paraId="19CF751C"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39" w:history="1">
            <w:r w:rsidRPr="00DE2140">
              <w:rPr>
                <w:rStyle w:val="a5"/>
                <w:rFonts w:ascii="Arial" w:eastAsia="ＭＳ Ｐ明朝" w:hAnsi="Arial" w:cs="Arial"/>
                <w:noProof/>
                <w:sz w:val="20"/>
                <w:szCs w:val="20"/>
              </w:rPr>
              <w:t>5.3</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Gene expression testing</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_Toc158900439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46</w:t>
            </w:r>
            <w:r w:rsidRPr="00DE2140">
              <w:rPr>
                <w:rFonts w:ascii="Arial" w:eastAsia="ＭＳ Ｐ明朝" w:hAnsi="Arial" w:cs="Arial"/>
                <w:noProof/>
                <w:webHidden/>
                <w:sz w:val="20"/>
                <w:szCs w:val="20"/>
              </w:rPr>
              <w:fldChar w:fldCharType="end"/>
            </w:r>
          </w:hyperlink>
        </w:p>
        <w:p w14:paraId="46CC76C2"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0" w:history="1">
            <w:r w:rsidRPr="00DE2140">
              <w:rPr>
                <w:rStyle w:val="a5"/>
                <w:rFonts w:ascii="Arial" w:eastAsia="ＭＳ Ｐ明朝" w:hAnsi="Arial" w:cs="Arial"/>
                <w:noProof/>
                <w:sz w:val="20"/>
                <w:szCs w:val="20"/>
              </w:rPr>
              <w:t>5.4</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Polygenic risk scores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_Toc158900440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47</w:t>
            </w:r>
            <w:r w:rsidRPr="00DE2140">
              <w:rPr>
                <w:rFonts w:ascii="Arial" w:eastAsia="ＭＳ Ｐ明朝" w:hAnsi="Arial" w:cs="Arial"/>
                <w:noProof/>
                <w:webHidden/>
                <w:sz w:val="20"/>
                <w:szCs w:val="20"/>
              </w:rPr>
              <w:fldChar w:fldCharType="end"/>
            </w:r>
          </w:hyperlink>
        </w:p>
        <w:p w14:paraId="2CF4C42C"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1" w:history="1">
            <w:r w:rsidRPr="00DE2140">
              <w:rPr>
                <w:rStyle w:val="a5"/>
                <w:rFonts w:ascii="Arial" w:eastAsia="ＭＳ Ｐ明朝" w:hAnsi="Arial" w:cs="Arial"/>
                <w:noProof/>
                <w:sz w:val="20"/>
                <w:szCs w:val="20"/>
              </w:rPr>
              <w:t>5.5</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Challenges identified for Assessment for funding of medicine linked genetic and genomic tests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_Toc158900441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49</w:t>
            </w:r>
            <w:r w:rsidRPr="00DE2140">
              <w:rPr>
                <w:rFonts w:ascii="Arial" w:eastAsia="ＭＳ Ｐ明朝" w:hAnsi="Arial" w:cs="Arial"/>
                <w:noProof/>
                <w:webHidden/>
                <w:sz w:val="20"/>
                <w:szCs w:val="20"/>
              </w:rPr>
              <w:fldChar w:fldCharType="end"/>
            </w:r>
          </w:hyperlink>
        </w:p>
        <w:p w14:paraId="4516A1B4"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2" w:history="1">
            <w:r w:rsidRPr="00DE2140">
              <w:rPr>
                <w:rStyle w:val="a5"/>
                <w:rFonts w:ascii="Arial" w:eastAsia="ＭＳ Ｐ明朝" w:hAnsi="Arial" w:cs="Arial"/>
                <w:noProof/>
                <w:sz w:val="20"/>
                <w:szCs w:val="20"/>
              </w:rPr>
              <w:t>6</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Theranostics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_Toc158900442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51</w:t>
            </w:r>
            <w:r w:rsidRPr="00DE2140">
              <w:rPr>
                <w:rFonts w:ascii="Arial" w:eastAsia="ＭＳ Ｐ明朝" w:hAnsi="Arial" w:cs="Arial"/>
                <w:noProof/>
                <w:webHidden/>
                <w:sz w:val="20"/>
                <w:szCs w:val="20"/>
              </w:rPr>
              <w:fldChar w:fldCharType="end"/>
            </w:r>
          </w:hyperlink>
        </w:p>
        <w:p w14:paraId="10464871"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3" w:history="1">
            <w:r w:rsidRPr="00DE2140">
              <w:rPr>
                <w:rStyle w:val="a5"/>
                <w:rFonts w:ascii="Arial" w:eastAsia="ＭＳ Ｐ明朝" w:hAnsi="Arial" w:cs="Arial"/>
                <w:noProof/>
                <w:sz w:val="20"/>
                <w:szCs w:val="20"/>
              </w:rPr>
              <w:t>6.1</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Radiotheranostics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_Toc158900443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51</w:t>
            </w:r>
            <w:r w:rsidRPr="00DE2140">
              <w:rPr>
                <w:rFonts w:ascii="Arial" w:eastAsia="ＭＳ Ｐ明朝" w:hAnsi="Arial" w:cs="Arial"/>
                <w:noProof/>
                <w:webHidden/>
                <w:sz w:val="20"/>
                <w:szCs w:val="20"/>
              </w:rPr>
              <w:fldChar w:fldCharType="end"/>
            </w:r>
          </w:hyperlink>
        </w:p>
        <w:p w14:paraId="7355C68D" w14:textId="77777777" w:rsidR="00D1041E" w:rsidRPr="00DE2140" w:rsidRDefault="00D1041E" w:rsidP="00DE2140">
          <w:pPr>
            <w:pStyle w:val="2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4" w:history="1">
            <w:r w:rsidRPr="00DE2140">
              <w:rPr>
                <w:rStyle w:val="a5"/>
                <w:rFonts w:ascii="Arial" w:eastAsia="ＭＳ Ｐ明朝" w:hAnsi="Arial" w:cs="Arial"/>
                <w:noProof/>
                <w:sz w:val="20"/>
                <w:szCs w:val="20"/>
              </w:rPr>
              <w:t>6.2</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Other theranostics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_Toc158900444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53</w:t>
            </w:r>
            <w:r w:rsidRPr="00DE2140">
              <w:rPr>
                <w:rFonts w:ascii="Arial" w:eastAsia="ＭＳ Ｐ明朝" w:hAnsi="Arial" w:cs="Arial"/>
                <w:noProof/>
                <w:webHidden/>
                <w:sz w:val="20"/>
                <w:szCs w:val="20"/>
              </w:rPr>
              <w:fldChar w:fldCharType="end"/>
            </w:r>
          </w:hyperlink>
        </w:p>
        <w:p w14:paraId="3CAF1592"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5" w:history="1">
            <w:r w:rsidRPr="00DE2140">
              <w:rPr>
                <w:rStyle w:val="a5"/>
                <w:rFonts w:ascii="Arial" w:eastAsia="ＭＳ Ｐ明朝" w:hAnsi="Arial" w:cs="Arial"/>
                <w:noProof/>
                <w:sz w:val="20"/>
                <w:szCs w:val="20"/>
              </w:rPr>
              <w:t>7</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Medicine linked digital health technologies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_Toc158900445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54</w:t>
            </w:r>
            <w:r w:rsidRPr="00DE2140">
              <w:rPr>
                <w:rFonts w:ascii="Arial" w:eastAsia="ＭＳ Ｐ明朝" w:hAnsi="Arial" w:cs="Arial"/>
                <w:noProof/>
                <w:webHidden/>
                <w:sz w:val="20"/>
                <w:szCs w:val="20"/>
              </w:rPr>
              <w:fldChar w:fldCharType="end"/>
            </w:r>
          </w:hyperlink>
        </w:p>
        <w:p w14:paraId="23DB4FBE" w14:textId="77777777" w:rsidR="00D1041E" w:rsidRPr="00DE2140" w:rsidRDefault="00D1041E" w:rsidP="00DE2140">
          <w:pPr>
            <w:pStyle w:val="11"/>
            <w:snapToGrid w:val="0"/>
            <w:spacing w:before="0" w:after="0" w:line="320" w:lineRule="atLeast"/>
            <w:rPr>
              <w:rFonts w:ascii="Arial" w:eastAsia="ＭＳ Ｐ明朝" w:hAnsi="Arial" w:cs="Arial"/>
              <w:noProof/>
              <w:kern w:val="2"/>
              <w:sz w:val="20"/>
              <w:szCs w:val="20"/>
              <w:lang w:val="en-AU" w:eastAsia="en-AU"/>
              <w14:ligatures w14:val="standardContextual"/>
            </w:rPr>
          </w:pPr>
          <w:hyperlink w:anchor="_Toc158900446" w:history="1">
            <w:r w:rsidRPr="00DE2140">
              <w:rPr>
                <w:rStyle w:val="a5"/>
                <w:rFonts w:ascii="Arial" w:eastAsia="ＭＳ Ｐ明朝" w:hAnsi="Arial" w:cs="Arial"/>
                <w:noProof/>
                <w:sz w:val="20"/>
                <w:szCs w:val="20"/>
              </w:rPr>
              <w:t>8</w:t>
            </w:r>
            <w:r w:rsidRPr="00DE2140">
              <w:rPr>
                <w:rFonts w:ascii="Arial" w:eastAsia="ＭＳ Ｐ明朝" w:hAnsi="Arial" w:cs="Arial"/>
                <w:noProof/>
                <w:kern w:val="2"/>
                <w:sz w:val="20"/>
                <w:szCs w:val="20"/>
                <w:lang w:val="en-AU" w:eastAsia="en-AU"/>
                <w14:ligatures w14:val="standardContextual"/>
              </w:rPr>
              <w:tab/>
            </w:r>
            <w:r w:rsidRPr="00DE2140">
              <w:rPr>
                <w:rStyle w:val="a5"/>
                <w:rFonts w:ascii="Arial" w:eastAsia="ＭＳ Ｐ明朝" w:hAnsi="Arial" w:cs="Arial"/>
                <w:noProof/>
                <w:sz w:val="20"/>
                <w:szCs w:val="20"/>
              </w:rPr>
              <w:t>Appendix 1: Glossary of Terms</w:t>
            </w:r>
            <w:r w:rsidRPr="00DE2140">
              <w:rPr>
                <w:rFonts w:ascii="Arial" w:eastAsia="ＭＳ Ｐ明朝" w:hAnsi="Arial" w:cs="Arial"/>
                <w:noProof/>
                <w:webHidden/>
                <w:sz w:val="20"/>
                <w:szCs w:val="20"/>
              </w:rPr>
              <w:tab/>
            </w:r>
            <w:r w:rsidRPr="00DE2140">
              <w:rPr>
                <w:rFonts w:ascii="Arial" w:eastAsia="ＭＳ Ｐ明朝" w:hAnsi="Arial" w:cs="Arial"/>
                <w:noProof/>
                <w:webHidden/>
                <w:sz w:val="20"/>
                <w:szCs w:val="20"/>
              </w:rPr>
              <w:fldChar w:fldCharType="begin"/>
            </w:r>
            <w:r w:rsidRPr="00DE2140">
              <w:rPr>
                <w:rFonts w:ascii="Arial" w:eastAsia="ＭＳ Ｐ明朝" w:hAnsi="Arial" w:cs="Arial"/>
                <w:noProof/>
                <w:webHidden/>
                <w:sz w:val="20"/>
                <w:szCs w:val="20"/>
              </w:rPr>
              <w:instrText xml:space="preserve"> PAGEREF _Toc158900446 \h </w:instrText>
            </w:r>
            <w:r w:rsidRPr="00DE2140">
              <w:rPr>
                <w:rFonts w:ascii="Arial" w:eastAsia="ＭＳ Ｐ明朝" w:hAnsi="Arial" w:cs="Arial"/>
                <w:noProof/>
                <w:webHidden/>
                <w:sz w:val="20"/>
                <w:szCs w:val="20"/>
              </w:rPr>
            </w:r>
            <w:r w:rsidRPr="00DE2140">
              <w:rPr>
                <w:rFonts w:ascii="Arial" w:eastAsia="ＭＳ Ｐ明朝" w:hAnsi="Arial" w:cs="Arial"/>
                <w:noProof/>
                <w:webHidden/>
                <w:sz w:val="20"/>
                <w:szCs w:val="20"/>
              </w:rPr>
              <w:fldChar w:fldCharType="separate"/>
            </w:r>
            <w:r w:rsidRPr="00DE2140">
              <w:rPr>
                <w:rFonts w:ascii="Arial" w:eastAsia="ＭＳ Ｐ明朝" w:hAnsi="Arial" w:cs="Arial"/>
                <w:noProof/>
                <w:webHidden/>
                <w:sz w:val="20"/>
                <w:szCs w:val="20"/>
              </w:rPr>
              <w:t>56</w:t>
            </w:r>
            <w:r w:rsidRPr="00DE2140">
              <w:rPr>
                <w:rFonts w:ascii="Arial" w:eastAsia="ＭＳ Ｐ明朝" w:hAnsi="Arial" w:cs="Arial"/>
                <w:noProof/>
                <w:webHidden/>
                <w:sz w:val="20"/>
                <w:szCs w:val="20"/>
              </w:rPr>
              <w:fldChar w:fldCharType="end"/>
            </w:r>
          </w:hyperlink>
        </w:p>
        <w:p w14:paraId="2F8EED5D" w14:textId="77777777" w:rsidR="00D1041E" w:rsidRPr="00DE2140" w:rsidRDefault="00D1041E" w:rsidP="00DE2140">
          <w:pPr>
            <w:snapToGrid w:val="0"/>
            <w:spacing w:after="0" w:line="320" w:lineRule="atLeast"/>
            <w:rPr>
              <w:rFonts w:ascii="Arial" w:eastAsia="ＭＳ Ｐ明朝" w:hAnsi="Arial" w:cs="Arial"/>
              <w:sz w:val="20"/>
              <w:szCs w:val="21"/>
            </w:rPr>
          </w:pPr>
          <w:r w:rsidRPr="00DE2140">
            <w:rPr>
              <w:rFonts w:ascii="Arial" w:eastAsia="ＭＳ Ｐ明朝" w:hAnsi="Arial" w:cs="Arial"/>
              <w:sz w:val="20"/>
              <w:szCs w:val="21"/>
            </w:rPr>
            <w:fldChar w:fldCharType="end"/>
          </w:r>
        </w:p>
      </w:sdtContent>
    </w:sdt>
    <w:p w14:paraId="21F35D4B" w14:textId="77777777" w:rsidR="00530F3B" w:rsidRPr="00DE2140" w:rsidRDefault="00D1041E" w:rsidP="00DE2140">
      <w:pPr>
        <w:widowControl/>
        <w:snapToGrid w:val="0"/>
        <w:spacing w:after="0" w:line="320" w:lineRule="atLeast"/>
        <w:rPr>
          <w:rFonts w:ascii="Times New Roman" w:eastAsia="ＭＳ Ｐ明朝" w:hAnsi="Times New Roman" w:cs="Times New Roman"/>
          <w:sz w:val="48"/>
          <w:szCs w:val="28"/>
        </w:rPr>
        <w:sectPr w:rsidR="00530F3B" w:rsidRPr="00DE2140" w:rsidSect="00D1041E">
          <w:footerReference w:type="default" r:id="rId8"/>
          <w:pgSz w:w="11906" w:h="16838"/>
          <w:pgMar w:top="1440" w:right="1440" w:bottom="1440" w:left="1440" w:header="720" w:footer="720" w:gutter="0"/>
          <w:cols w:space="720"/>
          <w:docGrid w:linePitch="360"/>
        </w:sectPr>
      </w:pPr>
      <w:bookmarkStart w:id="0" w:name="_Toc128579875"/>
      <w:bookmarkStart w:id="1" w:name="_Toc158900416"/>
      <w:r w:rsidRPr="00DE2140">
        <w:rPr>
          <w:rFonts w:ascii="Arial" w:eastAsia="ＭＳ Ｐ明朝" w:hAnsi="Arial" w:cs="Arial"/>
          <w:sz w:val="48"/>
          <w:szCs w:val="28"/>
        </w:rPr>
        <w:br w:type="page"/>
      </w:r>
    </w:p>
    <w:bookmarkEnd w:id="0"/>
    <w:bookmarkEnd w:id="1"/>
    <w:p w14:paraId="48C424C1" w14:textId="77777777" w:rsidR="00D1041E" w:rsidRPr="00DE2140" w:rsidRDefault="00D1041E" w:rsidP="00DE2140">
      <w:pPr>
        <w:pStyle w:val="1"/>
        <w:numPr>
          <w:ilvl w:val="0"/>
          <w:numId w:val="2"/>
        </w:numPr>
        <w:tabs>
          <w:tab w:val="num" w:pos="360"/>
        </w:tabs>
        <w:spacing w:before="0" w:line="240" w:lineRule="auto"/>
        <w:ind w:left="426"/>
        <w:jc w:val="both"/>
        <w:rPr>
          <w:rFonts w:ascii="Times New Roman" w:eastAsia="ＭＳ Ｐ明朝" w:hAnsi="Times New Roman" w:cs="Times New Roman"/>
          <w:sz w:val="36"/>
          <w:szCs w:val="21"/>
        </w:rPr>
      </w:pPr>
      <w:r w:rsidRPr="00DE2140">
        <w:rPr>
          <w:rFonts w:ascii="Times New Roman" w:eastAsia="ＭＳ Ｐ明朝" w:hAnsi="Times New Roman" w:cs="Times New Roman"/>
          <w:sz w:val="36"/>
          <w:szCs w:val="21"/>
        </w:rPr>
        <w:lastRenderedPageBreak/>
        <w:t>Introduction</w:t>
      </w:r>
    </w:p>
    <w:p w14:paraId="27C2E74B" w14:textId="77777777" w:rsidR="00D1041E" w:rsidRPr="00DE2140" w:rsidRDefault="00D1041E" w:rsidP="00DE2140">
      <w:pPr>
        <w:pStyle w:val="2"/>
        <w:spacing w:before="0" w:line="240" w:lineRule="auto"/>
        <w:ind w:left="567"/>
        <w:rPr>
          <w:rFonts w:ascii="Times New Roman" w:eastAsia="ＭＳ Ｐ明朝" w:hAnsi="Times New Roman" w:cs="Times New Roman"/>
          <w:szCs w:val="28"/>
        </w:rPr>
      </w:pPr>
      <w:bookmarkStart w:id="2" w:name="_Toc128579876"/>
      <w:bookmarkStart w:id="3" w:name="_Toc158900417"/>
      <w:r w:rsidRPr="00DE2140">
        <w:rPr>
          <w:rFonts w:ascii="Times New Roman" w:eastAsia="ＭＳ Ｐ明朝" w:hAnsi="Times New Roman" w:cs="Times New Roman"/>
          <w:szCs w:val="28"/>
        </w:rPr>
        <w:t>Purpose and structure of paper</w:t>
      </w:r>
      <w:bookmarkEnd w:id="2"/>
      <w:bookmarkEnd w:id="3"/>
    </w:p>
    <w:p w14:paraId="7294C7D9" w14:textId="2D34AA3D"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稿の目的は、近い将来、資金援助の可否を評価する必要がある可能性のある新薬、ワクチン、医療関連健康技術の概要を提供することである。オーストラリアにおける新薬や新しい医療技術の承認プロセスに関する調査（</w:t>
      </w:r>
      <w:r w:rsidRPr="00DE2140">
        <w:rPr>
          <w:rFonts w:ascii="Times New Roman" w:eastAsia="ＭＳ Ｐ明朝" w:hAnsi="Times New Roman" w:cs="Times New Roman"/>
          <w:sz w:val="21"/>
          <w:szCs w:val="22"/>
        </w:rPr>
        <w:t>Inquiry</w:t>
      </w:r>
      <w:r w:rsidRPr="00DE2140">
        <w:rPr>
          <w:rFonts w:ascii="Times New Roman" w:eastAsia="ＭＳ Ｐ明朝" w:hAnsi="Times New Roman" w:cs="Times New Roman"/>
          <w:sz w:val="21"/>
          <w:szCs w:val="22"/>
        </w:rPr>
        <w:t>）を通じて、保健・高齢者ケア・スポーツ常任委員会（</w:t>
      </w:r>
      <w:r w:rsidRPr="00DE2140">
        <w:rPr>
          <w:rFonts w:ascii="Times New Roman" w:eastAsia="ＭＳ Ｐ明朝" w:hAnsi="Times New Roman" w:cs="Times New Roman"/>
          <w:sz w:val="21"/>
          <w:szCs w:val="22"/>
        </w:rPr>
        <w:t>Standing Committee</w:t>
      </w:r>
      <w:r w:rsidRPr="00DE2140">
        <w:rPr>
          <w:rFonts w:ascii="Times New Roman" w:eastAsia="ＭＳ Ｐ明朝" w:hAnsi="Times New Roman" w:cs="Times New Roman"/>
          <w:sz w:val="21"/>
          <w:szCs w:val="22"/>
        </w:rPr>
        <w:t>）は、希少がん、抗菌薬、オーファンドラッグ、精密医療などの治療や療法は、現在のシステムにうまく適合していないという見解を形成した</w:t>
      </w:r>
      <w:r w:rsidRPr="00DE2140">
        <w:rPr>
          <w:rFonts w:ascii="Times New Roman" w:eastAsia="ＭＳ Ｐ明朝" w:hAnsi="Times New Roman" w:cs="Times New Roman"/>
          <w:vertAlign w:val="superscript"/>
        </w:rPr>
        <w:footnoteReference w:id="1"/>
      </w:r>
      <w:r w:rsidRPr="00DE2140">
        <w:rPr>
          <w:rFonts w:ascii="Times New Roman" w:eastAsia="ＭＳ Ｐ明朝" w:hAnsi="Times New Roman" w:cs="Times New Roman"/>
        </w:rPr>
        <w:t xml:space="preserve"> </w:t>
      </w:r>
      <w:r w:rsidRPr="00DE2140">
        <w:rPr>
          <w:rFonts w:ascii="Times New Roman" w:eastAsia="ＭＳ Ｐ明朝" w:hAnsi="Times New Roman" w:cs="Times New Roman"/>
          <w:sz w:val="21"/>
          <w:szCs w:val="22"/>
        </w:rPr>
        <w:t>。</w:t>
      </w:r>
    </w:p>
    <w:p w14:paraId="50C3C1CC"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本稿では、</w:t>
      </w:r>
      <w:r w:rsidRPr="00DE2140">
        <w:rPr>
          <w:rFonts w:ascii="Times New Roman" w:eastAsia="ＭＳ Ｐ明朝" w:hAnsi="Times New Roman" w:cs="Times New Roman"/>
          <w:sz w:val="21"/>
          <w:szCs w:val="22"/>
        </w:rPr>
        <w:t>HTA</w:t>
      </w:r>
      <w:r w:rsidRPr="00DE2140">
        <w:rPr>
          <w:rFonts w:ascii="Times New Roman" w:eastAsia="ＭＳ Ｐ明朝" w:hAnsi="Times New Roman" w:cs="Times New Roman"/>
          <w:sz w:val="21"/>
          <w:szCs w:val="22"/>
        </w:rPr>
        <w:t>（</w:t>
      </w:r>
      <w:r w:rsidRPr="00DE2140">
        <w:rPr>
          <w:rFonts w:ascii="Times New Roman" w:eastAsia="ＭＳ Ｐ明朝" w:hAnsi="Times New Roman" w:cs="Times New Roman"/>
          <w:sz w:val="21"/>
          <w:szCs w:val="22"/>
        </w:rPr>
        <w:t>Health Technology Assessment</w:t>
      </w:r>
      <w:r w:rsidRPr="00DE2140">
        <w:rPr>
          <w:rFonts w:ascii="Times New Roman" w:eastAsia="ＭＳ Ｐ明朝" w:hAnsi="Times New Roman" w:cs="Times New Roman"/>
          <w:sz w:val="21"/>
          <w:szCs w:val="22"/>
        </w:rPr>
        <w:t>）政策・方法レビュー（</w:t>
      </w:r>
      <w:r w:rsidRPr="00DE2140">
        <w:rPr>
          <w:rFonts w:ascii="Times New Roman" w:eastAsia="ＭＳ Ｐ明朝" w:hAnsi="Times New Roman" w:cs="Times New Roman"/>
          <w:sz w:val="21"/>
          <w:szCs w:val="22"/>
        </w:rPr>
        <w:t>HTA Review</w:t>
      </w:r>
      <w:r w:rsidRPr="00DE2140">
        <w:rPr>
          <w:rFonts w:ascii="Times New Roman" w:eastAsia="ＭＳ Ｐ明朝" w:hAnsi="Times New Roman" w:cs="Times New Roman"/>
          <w:sz w:val="21"/>
          <w:szCs w:val="22"/>
        </w:rPr>
        <w:t>）の業務範囲に含まれる、オーストラリアおよび国際的な新興技術に関する規制および償還承認の状況について紹介する。</w:t>
      </w:r>
    </w:p>
    <w:p w14:paraId="00EE9398"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 xml:space="preserve">HTA </w:t>
      </w:r>
      <w:r w:rsidRPr="00DE2140">
        <w:rPr>
          <w:rFonts w:ascii="Times New Roman" w:eastAsia="ＭＳ Ｐ明朝" w:hAnsi="Times New Roman" w:cs="Times New Roman"/>
          <w:sz w:val="21"/>
          <w:szCs w:val="22"/>
        </w:rPr>
        <w:t>レビューの対象となる技術は、以下のとおりである。</w:t>
      </w:r>
    </w:p>
    <w:p w14:paraId="5BA0D195" w14:textId="66EE56C8" w:rsidR="00DE2140" w:rsidRPr="00DE2140" w:rsidRDefault="00DE2140" w:rsidP="00DE2140">
      <w:pPr>
        <w:pStyle w:val="a9"/>
        <w:numPr>
          <w:ilvl w:val="0"/>
          <w:numId w:val="8"/>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すべての医薬品およびワクチン</w:t>
      </w:r>
    </w:p>
    <w:p w14:paraId="43953724" w14:textId="09649C1F" w:rsidR="00DE2140" w:rsidRPr="00DE2140" w:rsidRDefault="00DE2140" w:rsidP="00DE2140">
      <w:pPr>
        <w:pStyle w:val="a9"/>
        <w:numPr>
          <w:ilvl w:val="0"/>
          <w:numId w:val="8"/>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高度に専門化された治療法（例えば、細胞療法や遺伝子療法）</w:t>
      </w:r>
    </w:p>
    <w:p w14:paraId="4E71489A" w14:textId="4B6BC797" w:rsidR="00DE2140" w:rsidRPr="00DE2140" w:rsidRDefault="00DE2140" w:rsidP="00DE2140">
      <w:pPr>
        <w:pStyle w:val="a9"/>
        <w:numPr>
          <w:ilvl w:val="0"/>
          <w:numId w:val="8"/>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1</w:t>
      </w:r>
      <w:r w:rsidRPr="00DE2140">
        <w:rPr>
          <w:rFonts w:ascii="Times New Roman" w:eastAsia="ＭＳ Ｐ明朝" w:hAnsi="Times New Roman" w:cs="Times New Roman"/>
          <w:sz w:val="21"/>
          <w:szCs w:val="22"/>
        </w:rPr>
        <w:t>および</w:t>
      </w:r>
      <w:r w:rsidRPr="00DE2140">
        <w:rPr>
          <w:rFonts w:ascii="Times New Roman" w:eastAsia="ＭＳ Ｐ明朝" w:hAnsi="Times New Roman" w:cs="Times New Roman"/>
          <w:sz w:val="21"/>
          <w:szCs w:val="22"/>
        </w:rPr>
        <w:t>2</w:t>
      </w:r>
      <w:r w:rsidRPr="00DE2140">
        <w:rPr>
          <w:rFonts w:ascii="Times New Roman" w:eastAsia="ＭＳ Ｐ明朝" w:hAnsi="Times New Roman" w:cs="Times New Roman"/>
          <w:sz w:val="21"/>
          <w:szCs w:val="22"/>
        </w:rPr>
        <w:t>で定義された技術に関連する健康上の成果を改善するその他の医療技術（例えば、病理検査や画像技術）</w:t>
      </w:r>
    </w:p>
    <w:p w14:paraId="6AFB24B1" w14:textId="602F6013" w:rsidR="00DE2140" w:rsidRPr="00DE2140" w:rsidRDefault="00DE2140" w:rsidP="00DE2140">
      <w:pPr>
        <w:pStyle w:val="a9"/>
        <w:numPr>
          <w:ilvl w:val="0"/>
          <w:numId w:val="8"/>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新しい医療技術に対するニーズ、アクセシビリティ、有効性、費用対効果に影響を与える可能性のある、予測可能な医療の変化。</w:t>
      </w:r>
    </w:p>
    <w:p w14:paraId="3FBB97F5"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本論文は</w:t>
      </w:r>
      <w:r w:rsidRPr="00DE2140">
        <w:rPr>
          <w:rFonts w:ascii="Times New Roman" w:eastAsia="ＭＳ Ｐ明朝" w:hAnsi="Times New Roman" w:cs="Times New Roman"/>
          <w:sz w:val="21"/>
          <w:szCs w:val="22"/>
        </w:rPr>
        <w:t>2</w:t>
      </w:r>
      <w:r w:rsidRPr="00DE2140">
        <w:rPr>
          <w:rFonts w:ascii="Times New Roman" w:eastAsia="ＭＳ Ｐ明朝" w:hAnsi="Times New Roman" w:cs="Times New Roman"/>
          <w:sz w:val="21"/>
          <w:szCs w:val="22"/>
        </w:rPr>
        <w:t>つのパートから構成される。</w:t>
      </w:r>
    </w:p>
    <w:p w14:paraId="1AC15D02" w14:textId="680658A5" w:rsidR="00DE2140" w:rsidRPr="00DE2140" w:rsidRDefault="00DE2140" w:rsidP="00DE2140">
      <w:pPr>
        <w:pStyle w:val="a9"/>
        <w:numPr>
          <w:ilvl w:val="0"/>
          <w:numId w:val="10"/>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 xml:space="preserve">HTA </w:t>
      </w:r>
      <w:r w:rsidRPr="00DE2140">
        <w:rPr>
          <w:rFonts w:ascii="Times New Roman" w:eastAsia="ＭＳ Ｐ明朝" w:hAnsi="Times New Roman" w:cs="Times New Roman"/>
          <w:sz w:val="21"/>
          <w:szCs w:val="22"/>
        </w:rPr>
        <w:t>レビューの対象となる新技術、および</w:t>
      </w:r>
    </w:p>
    <w:p w14:paraId="0719E8C0" w14:textId="5D05D554" w:rsidR="00DE2140" w:rsidRPr="00DE2140" w:rsidRDefault="00DE2140" w:rsidP="00DE2140">
      <w:pPr>
        <w:pStyle w:val="a9"/>
        <w:numPr>
          <w:ilvl w:val="0"/>
          <w:numId w:val="10"/>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医薬品、ワクチン、高度に専門化された治療に関連した新技術。</w:t>
      </w:r>
    </w:p>
    <w:p w14:paraId="0802CB1F"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稿では、既存の医療技術評価、資金調達、助成金支給の枠組みに異議を唱える可能性のある新技術の独自の特徴を特定することも目的としている。本稿では、臨床前段階にある新技術については考慮しない。</w:t>
      </w:r>
    </w:p>
    <w:p w14:paraId="7E027153"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本稿の目的は、</w:t>
      </w:r>
      <w:r w:rsidRPr="00DE2140">
        <w:rPr>
          <w:rFonts w:ascii="Times New Roman" w:eastAsia="ＭＳ Ｐ明朝" w:hAnsi="Times New Roman" w:cs="Times New Roman"/>
          <w:sz w:val="21"/>
          <w:szCs w:val="22"/>
        </w:rPr>
        <w:t xml:space="preserve">HTA </w:t>
      </w:r>
      <w:r w:rsidRPr="00DE2140">
        <w:rPr>
          <w:rFonts w:ascii="Times New Roman" w:eastAsia="ＭＳ Ｐ明朝" w:hAnsi="Times New Roman" w:cs="Times New Roman"/>
          <w:sz w:val="21"/>
          <w:szCs w:val="22"/>
        </w:rPr>
        <w:t>レビューを通じた改革案の検討が、近い将来、資金援助や助成金の対象として評価が必要となる可能性のある新技術のタイプに関する情報によって裏付けられていることを保証することである。</w:t>
      </w:r>
    </w:p>
    <w:p w14:paraId="0F9DD771" w14:textId="77777777" w:rsidR="00D1041E" w:rsidRPr="00DE2140" w:rsidRDefault="00D1041E" w:rsidP="00DE2140">
      <w:pPr>
        <w:pStyle w:val="2"/>
        <w:spacing w:before="0" w:afterLines="50" w:after="174" w:line="240" w:lineRule="auto"/>
        <w:ind w:left="567" w:hanging="567"/>
        <w:rPr>
          <w:rFonts w:ascii="Times New Roman" w:eastAsia="ＭＳ Ｐ明朝" w:hAnsi="Times New Roman" w:cs="Times New Roman"/>
        </w:rPr>
      </w:pPr>
      <w:bookmarkStart w:id="4" w:name="_Toc158900418"/>
      <w:r w:rsidRPr="00DE2140">
        <w:rPr>
          <w:rFonts w:ascii="Times New Roman" w:eastAsia="ＭＳ Ｐ明朝" w:hAnsi="Times New Roman" w:cs="Times New Roman"/>
        </w:rPr>
        <w:lastRenderedPageBreak/>
        <w:t>Information sources</w:t>
      </w:r>
      <w:bookmarkEnd w:id="4"/>
    </w:p>
    <w:p w14:paraId="3CC51CB4"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本稿で取り上げた新技術と、それらがもたらす可能性のある課題は、公表されているホライゾン・スキャニング研究や、学術論文や報告書などのその他の文献、オーストラリアやその他の国の規制当局や</w:t>
      </w:r>
      <w:r w:rsidRPr="00DE2140">
        <w:rPr>
          <w:rFonts w:ascii="Times New Roman" w:eastAsia="ＭＳ Ｐ明朝" w:hAnsi="Times New Roman" w:cs="Times New Roman"/>
          <w:sz w:val="21"/>
          <w:szCs w:val="22"/>
        </w:rPr>
        <w:t xml:space="preserve"> HTA </w:t>
      </w:r>
      <w:r w:rsidRPr="00DE2140">
        <w:rPr>
          <w:rFonts w:ascii="Times New Roman" w:eastAsia="ＭＳ Ｐ明朝" w:hAnsi="Times New Roman" w:cs="Times New Roman"/>
          <w:sz w:val="21"/>
          <w:szCs w:val="22"/>
        </w:rPr>
        <w:t>機関からの報告書を通じて特定されたものである。これらの情報源には、以下のものが含まれる。</w:t>
      </w:r>
    </w:p>
    <w:p w14:paraId="70EAFB1B" w14:textId="5E8C5F43" w:rsidR="00DE2140" w:rsidRPr="00DE2140" w:rsidRDefault="00DE2140" w:rsidP="00DE2140">
      <w:pPr>
        <w:pStyle w:val="a9"/>
        <w:numPr>
          <w:ilvl w:val="0"/>
          <w:numId w:val="11"/>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ニューカッスル大学（英国）国立保健研究所イノベーション観測所ホライゾン・スキャニング・レポート</w:t>
      </w:r>
    </w:p>
    <w:p w14:paraId="01B03339" w14:textId="489E7E2A" w:rsidR="00DE2140" w:rsidRPr="00DE2140" w:rsidRDefault="00DE2140" w:rsidP="00DE2140">
      <w:pPr>
        <w:pStyle w:val="a9"/>
        <w:numPr>
          <w:ilvl w:val="0"/>
          <w:numId w:val="11"/>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患者中心型アウトカム研究機関</w:t>
      </w:r>
      <w:r w:rsidRPr="00DE2140">
        <w:rPr>
          <w:rFonts w:ascii="Times New Roman" w:eastAsia="ＭＳ Ｐ明朝" w:hAnsi="Times New Roman" w:cs="Times New Roman"/>
          <w:sz w:val="21"/>
          <w:szCs w:val="22"/>
        </w:rPr>
        <w:t xml:space="preserve"> - </w:t>
      </w:r>
      <w:r w:rsidRPr="00DE2140">
        <w:rPr>
          <w:rFonts w:ascii="Times New Roman" w:eastAsia="ＭＳ Ｐ明朝" w:hAnsi="Times New Roman" w:cs="Times New Roman"/>
          <w:sz w:val="21"/>
          <w:szCs w:val="22"/>
        </w:rPr>
        <w:t>ホライゾン・スキャニング・ハイポテンシャル・ディスラプション・レポート</w:t>
      </w:r>
    </w:p>
    <w:p w14:paraId="5FA9C149" w14:textId="5B23D252" w:rsidR="00DE2140" w:rsidRPr="00DE2140" w:rsidRDefault="00DE2140" w:rsidP="00DE2140">
      <w:pPr>
        <w:pStyle w:val="a9"/>
        <w:numPr>
          <w:ilvl w:val="0"/>
          <w:numId w:val="11"/>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世界保健機関（</w:t>
      </w:r>
      <w:r w:rsidRPr="00DE2140">
        <w:rPr>
          <w:rFonts w:ascii="Times New Roman" w:eastAsia="ＭＳ Ｐ明朝" w:hAnsi="Times New Roman" w:cs="Times New Roman"/>
          <w:sz w:val="21"/>
          <w:szCs w:val="22"/>
        </w:rPr>
        <w:t>WHO</w:t>
      </w:r>
      <w:r w:rsidRPr="00DE2140">
        <w:rPr>
          <w:rFonts w:ascii="Times New Roman" w:eastAsia="ＭＳ Ｐ明朝" w:hAnsi="Times New Roman" w:cs="Times New Roman"/>
          <w:sz w:val="21"/>
          <w:szCs w:val="22"/>
        </w:rPr>
        <w:t>）報告書：</w:t>
      </w:r>
      <w:r w:rsidRPr="00DE2140">
        <w:rPr>
          <w:rFonts w:ascii="Times New Roman" w:eastAsia="ＭＳ Ｐ明朝" w:hAnsi="Times New Roman" w:cs="Times New Roman"/>
          <w:sz w:val="21"/>
          <w:szCs w:val="22"/>
        </w:rPr>
        <w:t>Emerging trends and technologies: a horizon scan for global public health</w:t>
      </w:r>
      <w:r w:rsidRPr="00DE2140">
        <w:rPr>
          <w:rFonts w:ascii="Times New Roman" w:eastAsia="ＭＳ Ｐ明朝" w:hAnsi="Times New Roman" w:cs="Times New Roman"/>
          <w:sz w:val="21"/>
          <w:szCs w:val="22"/>
        </w:rPr>
        <w:t>（</w:t>
      </w:r>
      <w:r w:rsidRPr="00DE2140">
        <w:rPr>
          <w:rFonts w:ascii="Times New Roman" w:eastAsia="ＭＳ Ｐ明朝" w:hAnsi="Times New Roman" w:cs="Times New Roman"/>
          <w:sz w:val="21"/>
          <w:szCs w:val="22"/>
        </w:rPr>
        <w:t>2022</w:t>
      </w:r>
      <w:r w:rsidRPr="00DE2140">
        <w:rPr>
          <w:rFonts w:ascii="Times New Roman" w:eastAsia="ＭＳ Ｐ明朝" w:hAnsi="Times New Roman" w:cs="Times New Roman"/>
          <w:sz w:val="21"/>
          <w:szCs w:val="22"/>
        </w:rPr>
        <w:t>年）</w:t>
      </w:r>
    </w:p>
    <w:p w14:paraId="0E68F47A" w14:textId="3CD3ABDC" w:rsidR="00DE2140" w:rsidRPr="00DE2140" w:rsidRDefault="00DE2140" w:rsidP="00DE2140">
      <w:pPr>
        <w:pStyle w:val="a9"/>
        <w:numPr>
          <w:ilvl w:val="0"/>
          <w:numId w:val="11"/>
        </w:numPr>
        <w:spacing w:afterLines="50" w:after="174" w:line="240" w:lineRule="auto"/>
        <w:ind w:leftChars="0"/>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米国遺伝子・細胞治療学会</w:t>
      </w:r>
      <w:r w:rsidRPr="00DE2140">
        <w:rPr>
          <w:rFonts w:ascii="Times New Roman" w:eastAsia="ＭＳ Ｐ明朝" w:hAnsi="Times New Roman" w:cs="Times New Roman"/>
          <w:sz w:val="21"/>
          <w:szCs w:val="22"/>
        </w:rPr>
        <w:t xml:space="preserve"> - </w:t>
      </w:r>
      <w:r w:rsidRPr="00DE2140">
        <w:rPr>
          <w:rFonts w:ascii="Times New Roman" w:eastAsia="ＭＳ Ｐ明朝" w:hAnsi="Times New Roman" w:cs="Times New Roman"/>
          <w:sz w:val="21"/>
          <w:szCs w:val="22"/>
        </w:rPr>
        <w:t>遺伝子、細胞、</w:t>
      </w:r>
      <w:r w:rsidRPr="00DE2140">
        <w:rPr>
          <w:rFonts w:ascii="Times New Roman" w:eastAsia="ＭＳ Ｐ明朝" w:hAnsi="Times New Roman" w:cs="Times New Roman"/>
          <w:sz w:val="21"/>
          <w:szCs w:val="22"/>
        </w:rPr>
        <w:t xml:space="preserve">RNA </w:t>
      </w:r>
      <w:r w:rsidRPr="00DE2140">
        <w:rPr>
          <w:rFonts w:ascii="Times New Roman" w:eastAsia="ＭＳ Ｐ明朝" w:hAnsi="Times New Roman" w:cs="Times New Roman"/>
          <w:sz w:val="21"/>
          <w:szCs w:val="22"/>
        </w:rPr>
        <w:t>治療に関する報告書。</w:t>
      </w:r>
    </w:p>
    <w:p w14:paraId="6B77A676"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規制当局および保険償還の承認状況に関する情報は、欧州医薬品庁（</w:t>
      </w:r>
      <w:r w:rsidRPr="00DE2140">
        <w:rPr>
          <w:rFonts w:ascii="Times New Roman" w:eastAsia="ＭＳ Ｐ明朝" w:hAnsi="Times New Roman" w:cs="Times New Roman"/>
          <w:sz w:val="21"/>
          <w:szCs w:val="22"/>
        </w:rPr>
        <w:t>EMA</w:t>
      </w:r>
      <w:r w:rsidRPr="00DE2140">
        <w:rPr>
          <w:rFonts w:ascii="Times New Roman" w:eastAsia="ＭＳ Ｐ明朝" w:hAnsi="Times New Roman" w:cs="Times New Roman"/>
          <w:sz w:val="21"/>
          <w:szCs w:val="22"/>
        </w:rPr>
        <w:t>）、米国食品医薬品局（</w:t>
      </w:r>
      <w:r w:rsidRPr="00DE2140">
        <w:rPr>
          <w:rFonts w:ascii="Times New Roman" w:eastAsia="ＭＳ Ｐ明朝" w:hAnsi="Times New Roman" w:cs="Times New Roman"/>
          <w:sz w:val="21"/>
          <w:szCs w:val="22"/>
        </w:rPr>
        <w:t>FDA</w:t>
      </w:r>
      <w:r w:rsidRPr="00DE2140">
        <w:rPr>
          <w:rFonts w:ascii="Times New Roman" w:eastAsia="ＭＳ Ｐ明朝" w:hAnsi="Times New Roman" w:cs="Times New Roman"/>
          <w:sz w:val="21"/>
          <w:szCs w:val="22"/>
        </w:rPr>
        <w:t>）、オーストラリア医薬品管理局（</w:t>
      </w:r>
      <w:r w:rsidRPr="00DE2140">
        <w:rPr>
          <w:rFonts w:ascii="Times New Roman" w:eastAsia="ＭＳ Ｐ明朝" w:hAnsi="Times New Roman" w:cs="Times New Roman"/>
          <w:sz w:val="21"/>
          <w:szCs w:val="22"/>
        </w:rPr>
        <w:t>TGA</w:t>
      </w:r>
      <w:r w:rsidRPr="00DE2140">
        <w:rPr>
          <w:rFonts w:ascii="Times New Roman" w:eastAsia="ＭＳ Ｐ明朝" w:hAnsi="Times New Roman" w:cs="Times New Roman"/>
          <w:sz w:val="21"/>
          <w:szCs w:val="22"/>
        </w:rPr>
        <w:t>）、オーストラリア医薬品給付制度（</w:t>
      </w:r>
      <w:r w:rsidRPr="00DE2140">
        <w:rPr>
          <w:rFonts w:ascii="Times New Roman" w:eastAsia="ＭＳ Ｐ明朝" w:hAnsi="Times New Roman" w:cs="Times New Roman"/>
          <w:sz w:val="21"/>
          <w:szCs w:val="22"/>
        </w:rPr>
        <w:t>PBS</w:t>
      </w:r>
      <w:r w:rsidRPr="00DE2140">
        <w:rPr>
          <w:rFonts w:ascii="Times New Roman" w:eastAsia="ＭＳ Ｐ明朝" w:hAnsi="Times New Roman" w:cs="Times New Roman"/>
          <w:sz w:val="21"/>
          <w:szCs w:val="22"/>
        </w:rPr>
        <w:t>）、オーストラリア医療サービス諮問委員会（</w:t>
      </w:r>
      <w:r w:rsidRPr="00DE2140">
        <w:rPr>
          <w:rFonts w:ascii="Times New Roman" w:eastAsia="ＭＳ Ｐ明朝" w:hAnsi="Times New Roman" w:cs="Times New Roman"/>
          <w:sz w:val="21"/>
          <w:szCs w:val="22"/>
        </w:rPr>
        <w:t>MSAC</w:t>
      </w:r>
      <w:r w:rsidRPr="00DE2140">
        <w:rPr>
          <w:rFonts w:ascii="Times New Roman" w:eastAsia="ＭＳ Ｐ明朝" w:hAnsi="Times New Roman" w:cs="Times New Roman"/>
          <w:sz w:val="21"/>
          <w:szCs w:val="22"/>
        </w:rPr>
        <w:t>）のウェブサイトから入手した。</w:t>
      </w:r>
    </w:p>
    <w:p w14:paraId="74E8D919" w14:textId="6839FB45" w:rsid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sz w:val="21"/>
          <w:szCs w:val="22"/>
        </w:rPr>
        <w:t>特定された技術の概要を表</w:t>
      </w:r>
      <w:r w:rsidRPr="00DE2140">
        <w:rPr>
          <w:rFonts w:ascii="Times New Roman" w:eastAsia="ＭＳ Ｐ明朝" w:hAnsi="Times New Roman" w:cs="Times New Roman"/>
          <w:sz w:val="21"/>
          <w:szCs w:val="22"/>
        </w:rPr>
        <w:t>1</w:t>
      </w:r>
      <w:r w:rsidRPr="00DE2140">
        <w:rPr>
          <w:rFonts w:ascii="Times New Roman" w:eastAsia="ＭＳ Ｐ明朝" w:hAnsi="Times New Roman" w:cs="Times New Roman"/>
          <w:sz w:val="21"/>
          <w:szCs w:val="22"/>
        </w:rPr>
        <w:t>に示す。</w:t>
      </w:r>
    </w:p>
    <w:p w14:paraId="41858DDE" w14:textId="77777777" w:rsidR="00DE2140" w:rsidRDefault="00DE2140" w:rsidP="00DE2140">
      <w:pPr>
        <w:spacing w:afterLines="50" w:after="174" w:line="240" w:lineRule="auto"/>
        <w:rPr>
          <w:rFonts w:ascii="Times New Roman" w:eastAsia="ＭＳ Ｐ明朝" w:hAnsi="Times New Roman" w:cs="Times New Roman"/>
          <w:sz w:val="21"/>
          <w:szCs w:val="22"/>
        </w:rPr>
      </w:pPr>
    </w:p>
    <w:p w14:paraId="4B718CDB" w14:textId="77777777" w:rsidR="00DE2140" w:rsidRPr="00DE2140" w:rsidRDefault="00DE2140" w:rsidP="00DE2140">
      <w:pPr>
        <w:spacing w:afterLines="50" w:after="174" w:line="240" w:lineRule="auto"/>
        <w:rPr>
          <w:rFonts w:ascii="Times New Roman" w:eastAsia="ＭＳ Ｐ明朝" w:hAnsi="Times New Roman" w:cs="Times New Roman" w:hint="eastAsia"/>
          <w:sz w:val="21"/>
          <w:szCs w:val="22"/>
        </w:rPr>
      </w:pPr>
    </w:p>
    <w:p w14:paraId="4D0B3ECA" w14:textId="382BCB20" w:rsidR="00D1041E" w:rsidRPr="00DE2140" w:rsidRDefault="00D1041E" w:rsidP="00DE2140">
      <w:pPr>
        <w:pStyle w:val="2"/>
        <w:spacing w:before="0" w:afterLines="50" w:after="174" w:line="240" w:lineRule="auto"/>
        <w:ind w:left="567" w:hanging="567"/>
        <w:rPr>
          <w:rFonts w:ascii="Times New Roman" w:eastAsia="ＭＳ Ｐ明朝" w:hAnsi="Times New Roman" w:cs="Times New Roman"/>
        </w:rPr>
      </w:pPr>
      <w:bookmarkStart w:id="5" w:name="_Toc158900419"/>
      <w:r w:rsidRPr="00DE2140">
        <w:rPr>
          <w:rFonts w:ascii="Times New Roman" w:eastAsia="ＭＳ Ｐ明朝" w:hAnsi="Times New Roman" w:cs="Times New Roman"/>
        </w:rPr>
        <w:t>Assessment and funding pathways</w:t>
      </w:r>
      <w:bookmarkEnd w:id="5"/>
    </w:p>
    <w:p w14:paraId="00C5FCA3" w14:textId="77777777" w:rsidR="00DE2140" w:rsidRPr="00DE2140" w:rsidRDefault="00DE2140" w:rsidP="00DE2140">
      <w:pPr>
        <w:spacing w:afterLines="50" w:after="174" w:line="240" w:lineRule="auto"/>
        <w:rPr>
          <w:rFonts w:ascii="Times New Roman" w:eastAsia="ＭＳ Ｐ明朝" w:hAnsi="Times New Roman" w:cs="Times New Roman"/>
          <w:sz w:val="21"/>
          <w:szCs w:val="22"/>
        </w:rPr>
      </w:pPr>
      <w:r w:rsidRPr="00DE2140">
        <w:rPr>
          <w:rFonts w:ascii="Times New Roman" w:eastAsia="ＭＳ Ｐ明朝" w:hAnsi="Times New Roman" w:cs="Times New Roman" w:hint="eastAsia"/>
          <w:sz w:val="21"/>
          <w:szCs w:val="22"/>
        </w:rPr>
        <w:t>本稿で挙げた新興技術のうち、いくつかはオーストラリアで資金援助や助成金の対象として評価され始めている。表</w:t>
      </w:r>
      <w:r w:rsidRPr="00DE2140">
        <w:rPr>
          <w:rFonts w:ascii="Times New Roman" w:eastAsia="ＭＳ Ｐ明朝" w:hAnsi="Times New Roman" w:cs="Times New Roman"/>
          <w:sz w:val="21"/>
          <w:szCs w:val="22"/>
        </w:rPr>
        <w:t>1</w:t>
      </w:r>
      <w:r w:rsidRPr="00DE2140">
        <w:rPr>
          <w:rFonts w:ascii="Times New Roman" w:eastAsia="ＭＳ Ｐ明朝" w:hAnsi="Times New Roman" w:cs="Times New Roman"/>
          <w:sz w:val="21"/>
          <w:szCs w:val="22"/>
        </w:rPr>
        <w:t>に示した新興技術に対して用いられた資金援助と評価のプロセスは、以下の図に示されている。</w:t>
      </w:r>
    </w:p>
    <w:p w14:paraId="7284A61F" w14:textId="4679BC5A" w:rsidR="00D1041E" w:rsidRPr="00DE2140" w:rsidRDefault="00DE2140" w:rsidP="00DE2140">
      <w:pPr>
        <w:spacing w:afterLines="50" w:after="174" w:line="240" w:lineRule="auto"/>
        <w:rPr>
          <w:rFonts w:ascii="Times New Roman" w:eastAsia="ＭＳ Ｐ明朝" w:hAnsi="Times New Roman" w:cs="Times New Roman"/>
          <w:sz w:val="21"/>
          <w:szCs w:val="22"/>
        </w:rPr>
        <w:sectPr w:rsidR="00D1041E" w:rsidRPr="00DE2140" w:rsidSect="00DE2140">
          <w:type w:val="continuous"/>
          <w:pgSz w:w="11906" w:h="16838"/>
          <w:pgMar w:top="1440" w:right="1440" w:bottom="1440" w:left="1440" w:header="720" w:footer="720" w:gutter="0"/>
          <w:cols w:space="720"/>
          <w:docGrid w:type="linesAndChars" w:linePitch="348" w:charSpace="1157"/>
        </w:sectPr>
      </w:pPr>
      <w:r w:rsidRPr="00DE2140">
        <w:rPr>
          <w:rFonts w:ascii="Times New Roman" w:eastAsia="ＭＳ Ｐ明朝" w:hAnsi="Times New Roman" w:cs="Times New Roman" w:hint="eastAsia"/>
          <w:sz w:val="21"/>
          <w:szCs w:val="22"/>
        </w:rPr>
        <w:t>これらの経路の詳細については、オーストラリアの市場承認、資金調達、評価経路とタイムラインに関する論文で説明する。</w:t>
      </w:r>
    </w:p>
    <w:p w14:paraId="65E5EA52" w14:textId="77777777" w:rsidR="00D1041E" w:rsidRPr="00DE2140" w:rsidRDefault="00D1041E" w:rsidP="00530F3B">
      <w:pPr>
        <w:spacing w:afterLines="50" w:after="120" w:line="240" w:lineRule="auto"/>
        <w:rPr>
          <w:rFonts w:ascii="Times New Roman" w:eastAsia="ＭＳ Ｐ明朝" w:hAnsi="Times New Roman" w:cs="Times New Roman"/>
          <w:b/>
          <w:bCs/>
          <w:color w:val="002060"/>
        </w:rPr>
      </w:pPr>
      <w:bookmarkStart w:id="6" w:name="_Ref129352279"/>
      <w:r w:rsidRPr="00DE2140">
        <w:rPr>
          <w:rFonts w:ascii="Times New Roman" w:eastAsia="ＭＳ Ｐ明朝" w:hAnsi="Times New Roman" w:cs="Times New Roman"/>
          <w:b/>
          <w:bCs/>
          <w:color w:val="002060"/>
        </w:rPr>
        <w:lastRenderedPageBreak/>
        <w:t>Figure 1. Funding pathways for Commonwealth-funded health technologies</w:t>
      </w:r>
    </w:p>
    <w:p w14:paraId="405B3DC1" w14:textId="77777777" w:rsidR="00D1041E" w:rsidRPr="00DE2140" w:rsidRDefault="00D1041E" w:rsidP="00530F3B">
      <w:pPr>
        <w:spacing w:afterLines="50" w:after="120" w:line="240" w:lineRule="auto"/>
        <w:jc w:val="center"/>
        <w:rPr>
          <w:rFonts w:ascii="Times New Roman" w:eastAsia="ＭＳ Ｐ明朝" w:hAnsi="Times New Roman" w:cs="Times New Roman"/>
        </w:rPr>
      </w:pPr>
      <w:r w:rsidRPr="00DE2140">
        <w:rPr>
          <w:rFonts w:ascii="Times New Roman" w:eastAsia="ＭＳ Ｐ明朝" w:hAnsi="Times New Roman" w:cs="Times New Roman"/>
          <w:noProof/>
        </w:rPr>
        <w:drawing>
          <wp:inline distT="0" distB="0" distL="0" distR="0" wp14:anchorId="374B8C34" wp14:editId="684E85BF">
            <wp:extent cx="9404985" cy="4975860"/>
            <wp:effectExtent l="0" t="0" r="0" b="0"/>
            <wp:docPr id="155350197" name="Picture 155350197" descr="Funding pathways for Commonwealth-funded health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0197" name="Picture 155350197" descr="Funding pathways for Commonwealth-funded health technolog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4985" cy="4975860"/>
                    </a:xfrm>
                    <a:prstGeom prst="rect">
                      <a:avLst/>
                    </a:prstGeom>
                    <a:solidFill>
                      <a:schemeClr val="bg1"/>
                    </a:solidFill>
                    <a:ln>
                      <a:noFill/>
                    </a:ln>
                  </pic:spPr>
                </pic:pic>
              </a:graphicData>
            </a:graphic>
          </wp:inline>
        </w:drawing>
      </w:r>
    </w:p>
    <w:p w14:paraId="075CF985" w14:textId="77777777" w:rsidR="00D1041E" w:rsidRPr="00DE2140" w:rsidRDefault="00D1041E" w:rsidP="00530F3B">
      <w:pPr>
        <w:pStyle w:val="ad"/>
        <w:spacing w:before="0" w:afterLines="50" w:after="120"/>
        <w:rPr>
          <w:rFonts w:ascii="Times New Roman" w:eastAsia="ＭＳ Ｐ明朝" w:hAnsi="Times New Roman" w:cs="Times New Roman"/>
        </w:rPr>
      </w:pPr>
      <w:r w:rsidRPr="00DE2140">
        <w:rPr>
          <w:rFonts w:ascii="Times New Roman" w:eastAsia="ＭＳ Ｐ明朝" w:hAnsi="Times New Roman" w:cs="Times New Roman"/>
          <w:i w:val="0"/>
          <w:color w:val="auto"/>
          <w:sz w:val="22"/>
          <w:szCs w:val="22"/>
        </w:rPr>
        <w:t xml:space="preserve">Acronyms: ABF = Activity Based Funding; ATAGI = Australian Technical Advisory Group on Immunisation; IHACPA = Independent Health and Aged Care Pricing Authority; JBC = Jurisdictional Blood Committee; LSDPEP = Life Saving Drugs Program Expert Panel; LSDP = Life Saving Drugs Program; MBS = Medicare Benefits Schedule; MSAC = Medical Services Advisory Committee; NIP = National Immunisation Program; PBS = Pharmaceutical Benefits Scheme; NHRA = National Health Reform Agreement; NPPL = National Product Price List. </w:t>
      </w:r>
    </w:p>
    <w:p w14:paraId="030AA10A" w14:textId="77777777" w:rsidR="00D1041E" w:rsidRPr="00DE2140" w:rsidRDefault="00D1041E" w:rsidP="00DE2140">
      <w:pPr>
        <w:snapToGrid w:val="0"/>
        <w:spacing w:after="0" w:line="240" w:lineRule="atLeast"/>
        <w:rPr>
          <w:rFonts w:ascii="Times New Roman" w:eastAsia="ＭＳ Ｐ明朝" w:hAnsi="Times New Roman" w:cs="Times New Roman"/>
          <w:b/>
          <w:bCs/>
          <w:color w:val="002060"/>
          <w:sz w:val="21"/>
          <w:szCs w:val="22"/>
        </w:rPr>
      </w:pPr>
      <w:r w:rsidRPr="00DE2140">
        <w:rPr>
          <w:rFonts w:ascii="Times New Roman" w:eastAsia="ＭＳ Ｐ明朝" w:hAnsi="Times New Roman" w:cs="Times New Roman"/>
          <w:b/>
          <w:bCs/>
          <w:color w:val="002060"/>
          <w:sz w:val="21"/>
          <w:szCs w:val="22"/>
        </w:rPr>
        <w:lastRenderedPageBreak/>
        <w:t xml:space="preserve">Table </w:t>
      </w:r>
      <w:r w:rsidRPr="00DE2140">
        <w:rPr>
          <w:rFonts w:ascii="Times New Roman" w:eastAsia="ＭＳ Ｐ明朝" w:hAnsi="Times New Roman" w:cs="Times New Roman"/>
          <w:b/>
          <w:bCs/>
          <w:color w:val="002060"/>
          <w:sz w:val="21"/>
          <w:szCs w:val="22"/>
        </w:rPr>
        <w:fldChar w:fldCharType="begin"/>
      </w:r>
      <w:r w:rsidRPr="00DE2140">
        <w:rPr>
          <w:rFonts w:ascii="Times New Roman" w:eastAsia="ＭＳ Ｐ明朝" w:hAnsi="Times New Roman" w:cs="Times New Roman"/>
          <w:b/>
          <w:bCs/>
          <w:color w:val="002060"/>
          <w:sz w:val="21"/>
          <w:szCs w:val="22"/>
        </w:rPr>
        <w:instrText xml:space="preserve"> SEQ Table \* ARABIC </w:instrText>
      </w:r>
      <w:r w:rsidRPr="00DE2140">
        <w:rPr>
          <w:rFonts w:ascii="Times New Roman" w:eastAsia="ＭＳ Ｐ明朝" w:hAnsi="Times New Roman" w:cs="Times New Roman"/>
          <w:b/>
          <w:bCs/>
          <w:color w:val="002060"/>
          <w:sz w:val="21"/>
          <w:szCs w:val="22"/>
        </w:rPr>
        <w:fldChar w:fldCharType="separate"/>
      </w:r>
      <w:r w:rsidRPr="00DE2140">
        <w:rPr>
          <w:rFonts w:ascii="Times New Roman" w:eastAsia="ＭＳ Ｐ明朝" w:hAnsi="Times New Roman" w:cs="Times New Roman"/>
          <w:b/>
          <w:bCs/>
          <w:noProof/>
          <w:color w:val="002060"/>
          <w:sz w:val="21"/>
          <w:szCs w:val="22"/>
        </w:rPr>
        <w:t>1</w:t>
      </w:r>
      <w:r w:rsidRPr="00DE2140">
        <w:rPr>
          <w:rFonts w:ascii="Times New Roman" w:eastAsia="ＭＳ Ｐ明朝" w:hAnsi="Times New Roman" w:cs="Times New Roman"/>
          <w:b/>
          <w:bCs/>
          <w:color w:val="002060"/>
          <w:sz w:val="21"/>
          <w:szCs w:val="22"/>
        </w:rPr>
        <w:fldChar w:fldCharType="end"/>
      </w:r>
      <w:bookmarkEnd w:id="6"/>
      <w:r w:rsidRPr="00DE2140">
        <w:rPr>
          <w:rFonts w:ascii="Times New Roman" w:eastAsia="ＭＳ Ｐ明朝" w:hAnsi="Times New Roman" w:cs="Times New Roman"/>
          <w:b/>
          <w:bCs/>
          <w:color w:val="002060"/>
          <w:sz w:val="21"/>
          <w:szCs w:val="22"/>
        </w:rPr>
        <w:t xml:space="preserve"> Summary of emerging technologies identified</w:t>
      </w:r>
    </w:p>
    <w:tbl>
      <w:tblPr>
        <w:tblStyle w:val="DepartmentofHealthtable"/>
        <w:tblW w:w="0" w:type="auto"/>
        <w:tblLook w:val="04A0" w:firstRow="1" w:lastRow="0" w:firstColumn="1" w:lastColumn="0" w:noHBand="0" w:noVBand="1"/>
      </w:tblPr>
      <w:tblGrid>
        <w:gridCol w:w="1899"/>
        <w:gridCol w:w="1664"/>
        <w:gridCol w:w="636"/>
        <w:gridCol w:w="586"/>
        <w:gridCol w:w="880"/>
        <w:gridCol w:w="1515"/>
        <w:gridCol w:w="1801"/>
        <w:gridCol w:w="1476"/>
        <w:gridCol w:w="2399"/>
        <w:gridCol w:w="2542"/>
      </w:tblGrid>
      <w:tr w:rsidR="00530F3B" w:rsidRPr="00DE2140" w14:paraId="690CEFDE" w14:textId="77777777" w:rsidTr="006077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9" w:type="dxa"/>
            <w:vAlign w:val="center"/>
          </w:tcPr>
          <w:p w14:paraId="49D0B2F5"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b/>
                <w:bCs/>
                <w:sz w:val="18"/>
                <w:szCs w:val="18"/>
              </w:rPr>
              <w:t>Category</w:t>
            </w:r>
          </w:p>
        </w:tc>
        <w:tc>
          <w:tcPr>
            <w:tcW w:w="1665" w:type="dxa"/>
            <w:vAlign w:val="center"/>
          </w:tcPr>
          <w:p w14:paraId="666E2EEE" w14:textId="77777777" w:rsidR="00D1041E" w:rsidRPr="00DE2140" w:rsidRDefault="00D1041E" w:rsidP="00DE2140">
            <w:pPr>
              <w:snapToGrid w:val="0"/>
              <w:spacing w:line="160" w:lineRule="atLeast"/>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Examples</w:t>
            </w:r>
          </w:p>
        </w:tc>
        <w:tc>
          <w:tcPr>
            <w:tcW w:w="610" w:type="dxa"/>
            <w:vAlign w:val="center"/>
          </w:tcPr>
          <w:p w14:paraId="2C0B4DB5"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b/>
                <w:bCs/>
                <w:sz w:val="21"/>
                <w:szCs w:val="18"/>
              </w:rPr>
            </w:pPr>
            <w:r w:rsidRPr="00DE2140">
              <w:rPr>
                <w:rFonts w:ascii="Times New Roman" w:eastAsia="ＭＳ Ｐ明朝" w:hAnsi="Times New Roman"/>
                <w:b/>
                <w:bCs/>
                <w:sz w:val="18"/>
                <w:szCs w:val="18"/>
              </w:rPr>
              <w:t>EMA</w:t>
            </w:r>
          </w:p>
          <w:p w14:paraId="48B0EC26"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b/>
                <w:bCs/>
                <w:sz w:val="18"/>
                <w:szCs w:val="18"/>
              </w:rPr>
            </w:pPr>
            <w:r w:rsidRPr="00DE2140">
              <w:rPr>
                <w:rFonts w:ascii="Times New Roman" w:eastAsia="ＭＳ Ｐ明朝" w:hAnsi="Times New Roman"/>
                <w:b/>
                <w:bCs/>
                <w:sz w:val="18"/>
                <w:szCs w:val="18"/>
              </w:rPr>
              <w:t>(n)</w:t>
            </w:r>
          </w:p>
        </w:tc>
        <w:tc>
          <w:tcPr>
            <w:tcW w:w="564" w:type="dxa"/>
            <w:vAlign w:val="center"/>
          </w:tcPr>
          <w:p w14:paraId="46604E03"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b/>
                <w:bCs/>
                <w:sz w:val="21"/>
                <w:szCs w:val="18"/>
              </w:rPr>
            </w:pPr>
            <w:r w:rsidRPr="00DE2140">
              <w:rPr>
                <w:rFonts w:ascii="Times New Roman" w:eastAsia="ＭＳ Ｐ明朝" w:hAnsi="Times New Roman"/>
                <w:b/>
                <w:bCs/>
                <w:sz w:val="18"/>
                <w:szCs w:val="18"/>
              </w:rPr>
              <w:t>FDA</w:t>
            </w:r>
          </w:p>
          <w:p w14:paraId="779DAB9E"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(n)</w:t>
            </w:r>
          </w:p>
        </w:tc>
        <w:tc>
          <w:tcPr>
            <w:tcW w:w="880" w:type="dxa"/>
            <w:vAlign w:val="center"/>
          </w:tcPr>
          <w:p w14:paraId="76CDC721"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b/>
                <w:bCs/>
                <w:sz w:val="21"/>
                <w:szCs w:val="18"/>
              </w:rPr>
            </w:pPr>
            <w:r w:rsidRPr="00DE2140">
              <w:rPr>
                <w:rFonts w:ascii="Times New Roman" w:eastAsia="ＭＳ Ｐ明朝" w:hAnsi="Times New Roman"/>
                <w:b/>
                <w:bCs/>
                <w:sz w:val="18"/>
                <w:szCs w:val="18"/>
              </w:rPr>
              <w:t>TGA</w:t>
            </w:r>
          </w:p>
          <w:p w14:paraId="4F5D2B35"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(n)</w:t>
            </w:r>
          </w:p>
        </w:tc>
        <w:tc>
          <w:tcPr>
            <w:tcW w:w="1515" w:type="dxa"/>
            <w:vAlign w:val="center"/>
          </w:tcPr>
          <w:p w14:paraId="444F7196"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Subsidised in Australia</w:t>
            </w:r>
          </w:p>
        </w:tc>
        <w:tc>
          <w:tcPr>
            <w:tcW w:w="1802" w:type="dxa"/>
            <w:vAlign w:val="center"/>
          </w:tcPr>
          <w:p w14:paraId="36C55F75" w14:textId="77777777" w:rsidR="00D1041E" w:rsidRPr="00DE2140" w:rsidRDefault="00D1041E" w:rsidP="00DE2140">
            <w:pPr>
              <w:snapToGrid w:val="0"/>
              <w:spacing w:line="160"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Indications (broad)</w:t>
            </w:r>
          </w:p>
        </w:tc>
        <w:tc>
          <w:tcPr>
            <w:tcW w:w="1477" w:type="dxa"/>
            <w:vAlign w:val="center"/>
          </w:tcPr>
          <w:p w14:paraId="4CEBEEC9" w14:textId="77777777" w:rsidR="00D1041E" w:rsidRPr="00DE2140" w:rsidRDefault="00D1041E" w:rsidP="00DE2140">
            <w:pPr>
              <w:snapToGrid w:val="0"/>
              <w:spacing w:line="160" w:lineRule="atLeast"/>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Care settings</w:t>
            </w:r>
          </w:p>
        </w:tc>
        <w:tc>
          <w:tcPr>
            <w:tcW w:w="2401" w:type="dxa"/>
            <w:vAlign w:val="center"/>
          </w:tcPr>
          <w:p w14:paraId="12346259" w14:textId="77777777" w:rsidR="00D1041E" w:rsidRPr="00DE2140" w:rsidRDefault="00D1041E" w:rsidP="00DE2140">
            <w:pPr>
              <w:snapToGrid w:val="0"/>
              <w:spacing w:line="160" w:lineRule="atLeast"/>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HTA challenges</w:t>
            </w:r>
          </w:p>
        </w:tc>
        <w:tc>
          <w:tcPr>
            <w:tcW w:w="2544" w:type="dxa"/>
            <w:vAlign w:val="center"/>
          </w:tcPr>
          <w:p w14:paraId="7EADB530" w14:textId="77777777" w:rsidR="00D1041E" w:rsidRPr="00DE2140" w:rsidRDefault="00D1041E" w:rsidP="00DE2140">
            <w:pPr>
              <w:snapToGrid w:val="0"/>
              <w:spacing w:line="160" w:lineRule="atLeast"/>
              <w:cnfStyle w:val="100000000000" w:firstRow="1" w:lastRow="0" w:firstColumn="0" w:lastColumn="0" w:oddVBand="0" w:evenVBand="0" w:oddHBand="0"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b/>
                <w:bCs/>
                <w:sz w:val="18"/>
                <w:szCs w:val="18"/>
              </w:rPr>
              <w:t>Funding and Implementation challenges</w:t>
            </w:r>
          </w:p>
        </w:tc>
      </w:tr>
      <w:tr w:rsidR="00530F3B" w:rsidRPr="00DE2140" w14:paraId="1DF0DC1D"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305AF430"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Gene therapies</w:t>
            </w:r>
          </w:p>
        </w:tc>
        <w:tc>
          <w:tcPr>
            <w:tcW w:w="1665" w:type="dxa"/>
          </w:tcPr>
          <w:p w14:paraId="2C56956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Zolgensma</w:t>
            </w:r>
            <w:proofErr w:type="spellEnd"/>
            <w:r w:rsidRPr="00DE2140">
              <w:rPr>
                <w:rFonts w:ascii="Times New Roman" w:eastAsia="ＭＳ Ｐ明朝" w:hAnsi="Times New Roman"/>
                <w:sz w:val="18"/>
                <w:szCs w:val="18"/>
              </w:rPr>
              <w:t>®</w:t>
            </w:r>
          </w:p>
          <w:p w14:paraId="10AF551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Luxturna®</w:t>
            </w:r>
          </w:p>
          <w:p w14:paraId="315FE25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p w14:paraId="467B0A0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tc>
        <w:tc>
          <w:tcPr>
            <w:tcW w:w="610" w:type="dxa"/>
          </w:tcPr>
          <w:p w14:paraId="793CBA5B"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9C63304"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(6)</w:t>
            </w:r>
          </w:p>
        </w:tc>
        <w:tc>
          <w:tcPr>
            <w:tcW w:w="564" w:type="dxa"/>
          </w:tcPr>
          <w:p w14:paraId="339FE0F8"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 (8)</w:t>
            </w:r>
          </w:p>
        </w:tc>
        <w:tc>
          <w:tcPr>
            <w:tcW w:w="880" w:type="dxa"/>
          </w:tcPr>
          <w:p w14:paraId="17864CA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1636A1B8"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(3)</w:t>
            </w:r>
          </w:p>
        </w:tc>
        <w:tc>
          <w:tcPr>
            <w:tcW w:w="1515" w:type="dxa"/>
          </w:tcPr>
          <w:p w14:paraId="48E6D288"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5A277835"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 (PBS)</w:t>
            </w:r>
          </w:p>
          <w:p w14:paraId="373B6A10"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 (NHRA-HST)</w:t>
            </w:r>
          </w:p>
        </w:tc>
        <w:tc>
          <w:tcPr>
            <w:tcW w:w="1802" w:type="dxa"/>
          </w:tcPr>
          <w:p w14:paraId="7D60B55C"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Genetic disorders or cancers</w:t>
            </w:r>
          </w:p>
        </w:tc>
        <w:tc>
          <w:tcPr>
            <w:tcW w:w="1477" w:type="dxa"/>
          </w:tcPr>
          <w:p w14:paraId="021A8A8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(public hospital inpatient and outpatient)</w:t>
            </w:r>
          </w:p>
        </w:tc>
        <w:tc>
          <w:tcPr>
            <w:tcW w:w="2401" w:type="dxa"/>
          </w:tcPr>
          <w:p w14:paraId="4F420E13"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smaller evidence base resulting from trial designs and smaller populations</w:t>
            </w:r>
          </w:p>
          <w:p w14:paraId="3422DA5A"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uncertainty about long-term health outcomes</w:t>
            </w:r>
          </w:p>
          <w:p w14:paraId="381F8B4F"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uncertainty about cost-effectiveness</w:t>
            </w:r>
          </w:p>
          <w:p w14:paraId="2D301CA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individualised therapy</w:t>
            </w:r>
          </w:p>
          <w:p w14:paraId="29C83365"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p w14:paraId="006885C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tc>
        <w:tc>
          <w:tcPr>
            <w:tcW w:w="2544" w:type="dxa"/>
          </w:tcPr>
          <w:p w14:paraId="44E10633"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high cost </w:t>
            </w:r>
          </w:p>
          <w:p w14:paraId="07B7A361"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complex and resource-intensive implementation</w:t>
            </w:r>
          </w:p>
          <w:p w14:paraId="2B0381BA"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requires health outcome data collection </w:t>
            </w:r>
          </w:p>
          <w:p w14:paraId="40948CF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requires set up of mechanisms for assessment of health outcome data and price adjustment </w:t>
            </w:r>
          </w:p>
        </w:tc>
      </w:tr>
      <w:tr w:rsidR="00530F3B" w:rsidRPr="00DE2140" w14:paraId="1C4E6697"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3C390C18"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Gene silencing oligonucleotides</w:t>
            </w:r>
          </w:p>
        </w:tc>
        <w:tc>
          <w:tcPr>
            <w:tcW w:w="1665" w:type="dxa"/>
          </w:tcPr>
          <w:p w14:paraId="7391BA1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Spinraza</w:t>
            </w:r>
            <w:proofErr w:type="spellEnd"/>
            <w:r w:rsidRPr="00DE2140">
              <w:rPr>
                <w:rFonts w:ascii="Times New Roman" w:eastAsia="ＭＳ Ｐ明朝" w:hAnsi="Times New Roman"/>
                <w:sz w:val="18"/>
                <w:szCs w:val="18"/>
              </w:rPr>
              <w:t>®</w:t>
            </w:r>
          </w:p>
        </w:tc>
        <w:tc>
          <w:tcPr>
            <w:tcW w:w="610" w:type="dxa"/>
          </w:tcPr>
          <w:p w14:paraId="389D58E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7696214"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(8)</w:t>
            </w:r>
          </w:p>
        </w:tc>
        <w:tc>
          <w:tcPr>
            <w:tcW w:w="564" w:type="dxa"/>
          </w:tcPr>
          <w:p w14:paraId="70E454E8"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29A389A"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(16)</w:t>
            </w:r>
          </w:p>
        </w:tc>
        <w:tc>
          <w:tcPr>
            <w:tcW w:w="880" w:type="dxa"/>
          </w:tcPr>
          <w:p w14:paraId="717A2A35"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76B23148"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(4)</w:t>
            </w:r>
          </w:p>
        </w:tc>
        <w:tc>
          <w:tcPr>
            <w:tcW w:w="1515" w:type="dxa"/>
          </w:tcPr>
          <w:p w14:paraId="2D199C01"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4A82AE26"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 (PBS)</w:t>
            </w:r>
          </w:p>
        </w:tc>
        <w:tc>
          <w:tcPr>
            <w:tcW w:w="1802" w:type="dxa"/>
          </w:tcPr>
          <w:p w14:paraId="125FD534"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Genetic disorders</w:t>
            </w:r>
          </w:p>
        </w:tc>
        <w:tc>
          <w:tcPr>
            <w:tcW w:w="1477" w:type="dxa"/>
          </w:tcPr>
          <w:p w14:paraId="0182E6DD"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w:t>
            </w:r>
          </w:p>
        </w:tc>
        <w:tc>
          <w:tcPr>
            <w:tcW w:w="2401" w:type="dxa"/>
          </w:tcPr>
          <w:p w14:paraId="15DF5DE4"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smaller evidence base resulting from trial designs and smaller populations</w:t>
            </w:r>
          </w:p>
          <w:p w14:paraId="3521B0BF"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long treatment and effect duration</w:t>
            </w:r>
          </w:p>
          <w:p w14:paraId="6886683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uncertainty about long-term health outcomes and cost-effectiveness</w:t>
            </w:r>
          </w:p>
          <w:p w14:paraId="0758D97E"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individualised therapy</w:t>
            </w:r>
          </w:p>
        </w:tc>
        <w:tc>
          <w:tcPr>
            <w:tcW w:w="2544" w:type="dxa"/>
          </w:tcPr>
          <w:p w14:paraId="769C67E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cost</w:t>
            </w:r>
          </w:p>
          <w:p w14:paraId="694BCEEE"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synthesis of individualised therapeutics using in-house facilities</w:t>
            </w:r>
          </w:p>
        </w:tc>
      </w:tr>
      <w:tr w:rsidR="00530F3B" w:rsidRPr="00DE2140" w14:paraId="40288F4E"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06C27870"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Gene modified cell therapies</w:t>
            </w:r>
          </w:p>
        </w:tc>
        <w:tc>
          <w:tcPr>
            <w:tcW w:w="1665" w:type="dxa"/>
          </w:tcPr>
          <w:p w14:paraId="6D93226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Yescarta</w:t>
            </w:r>
            <w:proofErr w:type="spellEnd"/>
            <w:r w:rsidRPr="00DE2140">
              <w:rPr>
                <w:rFonts w:ascii="Times New Roman" w:eastAsia="ＭＳ Ｐ明朝" w:hAnsi="Times New Roman"/>
                <w:sz w:val="18"/>
                <w:szCs w:val="18"/>
              </w:rPr>
              <w:t>®</w:t>
            </w:r>
          </w:p>
          <w:p w14:paraId="409B885C"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Kymriah®</w:t>
            </w:r>
          </w:p>
          <w:p w14:paraId="29CAFB14"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Tecartus</w:t>
            </w:r>
            <w:proofErr w:type="spellEnd"/>
            <w:r w:rsidRPr="00DE2140">
              <w:rPr>
                <w:rFonts w:ascii="Times New Roman" w:eastAsia="ＭＳ Ｐ明朝" w:hAnsi="Times New Roman"/>
                <w:sz w:val="18"/>
                <w:szCs w:val="18"/>
              </w:rPr>
              <w:t>®</w:t>
            </w:r>
          </w:p>
        </w:tc>
        <w:tc>
          <w:tcPr>
            <w:tcW w:w="610" w:type="dxa"/>
          </w:tcPr>
          <w:p w14:paraId="6B0EF6F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38248319"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(9)</w:t>
            </w:r>
          </w:p>
        </w:tc>
        <w:tc>
          <w:tcPr>
            <w:tcW w:w="564" w:type="dxa"/>
          </w:tcPr>
          <w:p w14:paraId="6BC6202F"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ACD9D91"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(11)</w:t>
            </w:r>
          </w:p>
        </w:tc>
        <w:tc>
          <w:tcPr>
            <w:tcW w:w="880" w:type="dxa"/>
          </w:tcPr>
          <w:p w14:paraId="2D228C2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166C0A1"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(4)</w:t>
            </w:r>
          </w:p>
        </w:tc>
        <w:tc>
          <w:tcPr>
            <w:tcW w:w="1515" w:type="dxa"/>
          </w:tcPr>
          <w:p w14:paraId="7DF8B6E1"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498CC023"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3 (NHRA-HST)</w:t>
            </w:r>
          </w:p>
        </w:tc>
        <w:tc>
          <w:tcPr>
            <w:tcW w:w="1802" w:type="dxa"/>
          </w:tcPr>
          <w:p w14:paraId="37B3D5DB"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Haematological diseases</w:t>
            </w:r>
          </w:p>
        </w:tc>
        <w:tc>
          <w:tcPr>
            <w:tcW w:w="1477" w:type="dxa"/>
          </w:tcPr>
          <w:p w14:paraId="092015E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Inpatient (to date)</w:t>
            </w:r>
          </w:p>
        </w:tc>
        <w:tc>
          <w:tcPr>
            <w:tcW w:w="2401" w:type="dxa"/>
          </w:tcPr>
          <w:p w14:paraId="2EF5864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smaller evidence base resulting from trial designs and smaller populations</w:t>
            </w:r>
          </w:p>
          <w:p w14:paraId="1C2E1F14"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uncertainty about long-term health outcomes</w:t>
            </w:r>
          </w:p>
          <w:p w14:paraId="306AF35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uncertainty about cost-effectiveness</w:t>
            </w:r>
          </w:p>
          <w:p w14:paraId="12064FD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individualised therapy</w:t>
            </w:r>
          </w:p>
          <w:p w14:paraId="1731888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p w14:paraId="625071D2"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p w14:paraId="432B7502"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
        </w:tc>
        <w:tc>
          <w:tcPr>
            <w:tcW w:w="2544" w:type="dxa"/>
          </w:tcPr>
          <w:p w14:paraId="7534A0E5"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cost</w:t>
            </w:r>
          </w:p>
          <w:p w14:paraId="7F0D62D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complex and resource-intensive implementation</w:t>
            </w:r>
          </w:p>
          <w:p w14:paraId="3F965A87"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requires capital investment to set up specialised facilities</w:t>
            </w:r>
          </w:p>
          <w:p w14:paraId="061BC75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requires health outcome data collection </w:t>
            </w:r>
          </w:p>
          <w:p w14:paraId="72BADCFF"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requires set up of mechanisms for assessment of health outcome data and price adjustment </w:t>
            </w:r>
          </w:p>
          <w:p w14:paraId="05BD09A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synthesis of individualised therapeutics using in-house facilities</w:t>
            </w:r>
          </w:p>
        </w:tc>
      </w:tr>
      <w:tr w:rsidR="00530F3B" w:rsidRPr="00DE2140" w14:paraId="695C6024"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6F0E874A"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lastRenderedPageBreak/>
              <w:t>Tumour/tissue agnostic therapies</w:t>
            </w:r>
          </w:p>
        </w:tc>
        <w:tc>
          <w:tcPr>
            <w:tcW w:w="1665" w:type="dxa"/>
          </w:tcPr>
          <w:p w14:paraId="1B69079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Keytruda®</w:t>
            </w:r>
          </w:p>
          <w:p w14:paraId="2753E58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Vitrakvi</w:t>
            </w:r>
            <w:proofErr w:type="spellEnd"/>
            <w:r w:rsidRPr="00DE2140">
              <w:rPr>
                <w:rFonts w:ascii="Times New Roman" w:eastAsia="ＭＳ Ｐ明朝" w:hAnsi="Times New Roman"/>
                <w:sz w:val="18"/>
                <w:szCs w:val="18"/>
              </w:rPr>
              <w:t>®</w:t>
            </w:r>
          </w:p>
          <w:p w14:paraId="589900B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Rozlytrek</w:t>
            </w:r>
            <w:proofErr w:type="spellEnd"/>
            <w:r w:rsidRPr="00DE2140">
              <w:rPr>
                <w:rFonts w:ascii="Times New Roman" w:eastAsia="ＭＳ Ｐ明朝" w:hAnsi="Times New Roman"/>
                <w:sz w:val="18"/>
                <w:szCs w:val="18"/>
              </w:rPr>
              <w:t>®</w:t>
            </w:r>
          </w:p>
        </w:tc>
        <w:tc>
          <w:tcPr>
            <w:tcW w:w="610" w:type="dxa"/>
          </w:tcPr>
          <w:p w14:paraId="00BD9825"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4827C3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(6)</w:t>
            </w:r>
          </w:p>
        </w:tc>
        <w:tc>
          <w:tcPr>
            <w:tcW w:w="564" w:type="dxa"/>
          </w:tcPr>
          <w:p w14:paraId="1CE4FDDD"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17EBD41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(6)</w:t>
            </w:r>
          </w:p>
        </w:tc>
        <w:tc>
          <w:tcPr>
            <w:tcW w:w="880" w:type="dxa"/>
          </w:tcPr>
          <w:p w14:paraId="4D3572BA"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167F3A61"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(6)</w:t>
            </w:r>
          </w:p>
        </w:tc>
        <w:tc>
          <w:tcPr>
            <w:tcW w:w="1515" w:type="dxa"/>
          </w:tcPr>
          <w:p w14:paraId="29EF4D24"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5C6F36D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4 (PBS)</w:t>
            </w:r>
          </w:p>
        </w:tc>
        <w:tc>
          <w:tcPr>
            <w:tcW w:w="1802" w:type="dxa"/>
          </w:tcPr>
          <w:p w14:paraId="3198C5DB"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Cancer</w:t>
            </w:r>
          </w:p>
        </w:tc>
        <w:tc>
          <w:tcPr>
            <w:tcW w:w="1477" w:type="dxa"/>
          </w:tcPr>
          <w:p w14:paraId="4CEB28EA"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 and others)</w:t>
            </w:r>
          </w:p>
        </w:tc>
        <w:tc>
          <w:tcPr>
            <w:tcW w:w="2401" w:type="dxa"/>
          </w:tcPr>
          <w:p w14:paraId="748D885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uncertainty about relative benefits in different cancer types. </w:t>
            </w:r>
          </w:p>
          <w:p w14:paraId="74B4BB6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clinical trials have small, highly heterogeneous populations</w:t>
            </w:r>
          </w:p>
          <w:p w14:paraId="5485A4F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accuracy of companion diagnostic test</w:t>
            </w:r>
          </w:p>
          <w:p w14:paraId="2615CBFB"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smaller evidence base resulting from trial designs</w:t>
            </w:r>
          </w:p>
        </w:tc>
        <w:tc>
          <w:tcPr>
            <w:tcW w:w="2544" w:type="dxa"/>
          </w:tcPr>
          <w:p w14:paraId="2D3F1D8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no challenges unique to this group</w:t>
            </w:r>
          </w:p>
        </w:tc>
      </w:tr>
      <w:tr w:rsidR="00530F3B" w:rsidRPr="00DE2140" w14:paraId="23A1DB73"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17E12357"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Antibody drug conjugates</w:t>
            </w:r>
          </w:p>
        </w:tc>
        <w:tc>
          <w:tcPr>
            <w:tcW w:w="1665" w:type="dxa"/>
          </w:tcPr>
          <w:p w14:paraId="3315876A"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Mylotarg</w:t>
            </w:r>
            <w:proofErr w:type="spellEnd"/>
            <w:r w:rsidRPr="00DE2140">
              <w:rPr>
                <w:rFonts w:ascii="Times New Roman" w:eastAsia="ＭＳ Ｐ明朝" w:hAnsi="Times New Roman"/>
                <w:sz w:val="18"/>
                <w:szCs w:val="18"/>
              </w:rPr>
              <w:t>®</w:t>
            </w:r>
          </w:p>
          <w:p w14:paraId="5BF8B9EF"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Adcetris</w:t>
            </w:r>
            <w:proofErr w:type="spellEnd"/>
            <w:r w:rsidRPr="00DE2140">
              <w:rPr>
                <w:rFonts w:ascii="Times New Roman" w:eastAsia="ＭＳ Ｐ明朝" w:hAnsi="Times New Roman"/>
                <w:sz w:val="18"/>
                <w:szCs w:val="18"/>
              </w:rPr>
              <w:t>®</w:t>
            </w:r>
          </w:p>
          <w:p w14:paraId="7001EA27"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Besponsa</w:t>
            </w:r>
            <w:proofErr w:type="spellEnd"/>
            <w:r w:rsidRPr="00DE2140">
              <w:rPr>
                <w:rFonts w:ascii="Times New Roman" w:eastAsia="ＭＳ Ｐ明朝" w:hAnsi="Times New Roman"/>
                <w:sz w:val="18"/>
                <w:szCs w:val="18"/>
              </w:rPr>
              <w:t>®</w:t>
            </w:r>
          </w:p>
        </w:tc>
        <w:tc>
          <w:tcPr>
            <w:tcW w:w="610" w:type="dxa"/>
          </w:tcPr>
          <w:p w14:paraId="1480BC54"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9C5943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(10)</w:t>
            </w:r>
          </w:p>
        </w:tc>
        <w:tc>
          <w:tcPr>
            <w:tcW w:w="564" w:type="dxa"/>
          </w:tcPr>
          <w:p w14:paraId="1BD3060D"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99BE9EE"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(12)</w:t>
            </w:r>
          </w:p>
        </w:tc>
        <w:tc>
          <w:tcPr>
            <w:tcW w:w="880" w:type="dxa"/>
          </w:tcPr>
          <w:p w14:paraId="3D6A14B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9A8C43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(8)</w:t>
            </w:r>
          </w:p>
        </w:tc>
        <w:tc>
          <w:tcPr>
            <w:tcW w:w="1515" w:type="dxa"/>
          </w:tcPr>
          <w:p w14:paraId="4A7C136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15010A59"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5 (PBS)</w:t>
            </w:r>
          </w:p>
        </w:tc>
        <w:tc>
          <w:tcPr>
            <w:tcW w:w="1802" w:type="dxa"/>
          </w:tcPr>
          <w:p w14:paraId="63F6A71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Haematological malignancies and solid tumours</w:t>
            </w:r>
          </w:p>
        </w:tc>
        <w:tc>
          <w:tcPr>
            <w:tcW w:w="1477" w:type="dxa"/>
          </w:tcPr>
          <w:p w14:paraId="0874DE0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 and others)</w:t>
            </w:r>
          </w:p>
        </w:tc>
        <w:tc>
          <w:tcPr>
            <w:tcW w:w="2401" w:type="dxa"/>
          </w:tcPr>
          <w:p w14:paraId="0676364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 no challenges unique to this group</w:t>
            </w:r>
          </w:p>
        </w:tc>
        <w:tc>
          <w:tcPr>
            <w:tcW w:w="2544" w:type="dxa"/>
          </w:tcPr>
          <w:p w14:paraId="000D91E0"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no challenges unique to this group</w:t>
            </w:r>
          </w:p>
        </w:tc>
      </w:tr>
      <w:tr w:rsidR="00530F3B" w:rsidRPr="00DE2140" w14:paraId="288A3C7D"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136C908A"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Bi-specific antibodies</w:t>
            </w:r>
          </w:p>
          <w:p w14:paraId="46F1C35E" w14:textId="77777777" w:rsidR="00D1041E" w:rsidRPr="00DE2140" w:rsidRDefault="00D1041E" w:rsidP="00DE2140">
            <w:pPr>
              <w:snapToGrid w:val="0"/>
              <w:spacing w:line="160" w:lineRule="atLeast"/>
              <w:rPr>
                <w:rFonts w:ascii="Times New Roman" w:eastAsia="ＭＳ Ｐ明朝" w:hAnsi="Times New Roman"/>
                <w:sz w:val="18"/>
                <w:szCs w:val="18"/>
              </w:rPr>
            </w:pPr>
          </w:p>
        </w:tc>
        <w:tc>
          <w:tcPr>
            <w:tcW w:w="1665" w:type="dxa"/>
          </w:tcPr>
          <w:p w14:paraId="43E0C0B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Blincyto</w:t>
            </w:r>
            <w:proofErr w:type="spellEnd"/>
            <w:r w:rsidRPr="00DE2140">
              <w:rPr>
                <w:rFonts w:ascii="Times New Roman" w:eastAsia="ＭＳ Ｐ明朝" w:hAnsi="Times New Roman"/>
                <w:sz w:val="18"/>
                <w:szCs w:val="18"/>
              </w:rPr>
              <w:t>®</w:t>
            </w:r>
          </w:p>
          <w:p w14:paraId="204D3473"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Vabysmo</w:t>
            </w:r>
            <w:proofErr w:type="spellEnd"/>
            <w:r w:rsidRPr="00DE2140">
              <w:rPr>
                <w:rFonts w:ascii="Times New Roman" w:eastAsia="ＭＳ Ｐ明朝" w:hAnsi="Times New Roman"/>
                <w:sz w:val="18"/>
                <w:szCs w:val="18"/>
              </w:rPr>
              <w:t>®</w:t>
            </w:r>
          </w:p>
          <w:p w14:paraId="4CE1D3B4"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Hemlibra</w:t>
            </w:r>
            <w:proofErr w:type="spellEnd"/>
            <w:r w:rsidRPr="00DE2140">
              <w:rPr>
                <w:rFonts w:ascii="Times New Roman" w:eastAsia="ＭＳ Ｐ明朝" w:hAnsi="Times New Roman"/>
                <w:sz w:val="18"/>
                <w:szCs w:val="18"/>
              </w:rPr>
              <w:t>®</w:t>
            </w:r>
          </w:p>
          <w:p w14:paraId="0E837583"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Glofitamab</w:t>
            </w:r>
            <w:proofErr w:type="spellEnd"/>
            <w:r w:rsidRPr="00DE2140">
              <w:rPr>
                <w:rFonts w:ascii="Times New Roman" w:eastAsia="ＭＳ Ｐ明朝" w:hAnsi="Times New Roman"/>
                <w:sz w:val="18"/>
                <w:szCs w:val="18"/>
              </w:rPr>
              <w:t>® (RG6026)</w:t>
            </w:r>
          </w:p>
        </w:tc>
        <w:tc>
          <w:tcPr>
            <w:tcW w:w="610" w:type="dxa"/>
          </w:tcPr>
          <w:p w14:paraId="643FE340"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1FE0517"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(11)</w:t>
            </w:r>
          </w:p>
        </w:tc>
        <w:tc>
          <w:tcPr>
            <w:tcW w:w="564" w:type="dxa"/>
          </w:tcPr>
          <w:p w14:paraId="0915F9FB"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B23D59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(11)</w:t>
            </w:r>
          </w:p>
        </w:tc>
        <w:tc>
          <w:tcPr>
            <w:tcW w:w="880" w:type="dxa"/>
          </w:tcPr>
          <w:p w14:paraId="18C71184"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7F7BA9A"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(7)</w:t>
            </w:r>
          </w:p>
        </w:tc>
        <w:tc>
          <w:tcPr>
            <w:tcW w:w="1515" w:type="dxa"/>
          </w:tcPr>
          <w:p w14:paraId="65BE6645"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54664FBA"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2 (PBS)</w:t>
            </w:r>
          </w:p>
        </w:tc>
        <w:tc>
          <w:tcPr>
            <w:tcW w:w="1802" w:type="dxa"/>
          </w:tcPr>
          <w:p w14:paraId="740D6EE1"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Cancer and potentially other diseases</w:t>
            </w:r>
          </w:p>
        </w:tc>
        <w:tc>
          <w:tcPr>
            <w:tcW w:w="1477" w:type="dxa"/>
          </w:tcPr>
          <w:p w14:paraId="4263A58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 and others)</w:t>
            </w:r>
          </w:p>
        </w:tc>
        <w:tc>
          <w:tcPr>
            <w:tcW w:w="2401" w:type="dxa"/>
          </w:tcPr>
          <w:p w14:paraId="03D2D6C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no challenges unique to this group</w:t>
            </w:r>
          </w:p>
        </w:tc>
        <w:tc>
          <w:tcPr>
            <w:tcW w:w="2544" w:type="dxa"/>
          </w:tcPr>
          <w:p w14:paraId="4A86983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no challenges unique to this group</w:t>
            </w:r>
          </w:p>
        </w:tc>
      </w:tr>
      <w:tr w:rsidR="00530F3B" w:rsidRPr="00DE2140" w14:paraId="0C962B27"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5A3F5E53"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Phage therapy</w:t>
            </w:r>
          </w:p>
        </w:tc>
        <w:tc>
          <w:tcPr>
            <w:tcW w:w="1665" w:type="dxa"/>
          </w:tcPr>
          <w:p w14:paraId="4C128AF7"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Not yet marketed</w:t>
            </w:r>
          </w:p>
        </w:tc>
        <w:tc>
          <w:tcPr>
            <w:tcW w:w="610" w:type="dxa"/>
          </w:tcPr>
          <w:p w14:paraId="7E6A066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564" w:type="dxa"/>
          </w:tcPr>
          <w:p w14:paraId="4483E9F1"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880" w:type="dxa"/>
          </w:tcPr>
          <w:p w14:paraId="13B2A4A3"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1515" w:type="dxa"/>
          </w:tcPr>
          <w:p w14:paraId="4762ABC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1802" w:type="dxa"/>
          </w:tcPr>
          <w:p w14:paraId="2F64AB5D"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Treatment of antibiotic-resistant bacterial infections</w:t>
            </w:r>
          </w:p>
        </w:tc>
        <w:tc>
          <w:tcPr>
            <w:tcW w:w="1477" w:type="dxa"/>
          </w:tcPr>
          <w:p w14:paraId="440EDFDC"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uncertain</w:t>
            </w:r>
          </w:p>
        </w:tc>
        <w:tc>
          <w:tcPr>
            <w:tcW w:w="2401" w:type="dxa"/>
          </w:tcPr>
          <w:p w14:paraId="09AEC2E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uncertain</w:t>
            </w:r>
          </w:p>
        </w:tc>
        <w:tc>
          <w:tcPr>
            <w:tcW w:w="2544" w:type="dxa"/>
          </w:tcPr>
          <w:p w14:paraId="1078ED4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set up of infrastructure </w:t>
            </w:r>
          </w:p>
          <w:p w14:paraId="0A341F01"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training of workforce to administer treatment </w:t>
            </w:r>
          </w:p>
        </w:tc>
      </w:tr>
      <w:tr w:rsidR="00530F3B" w:rsidRPr="00DE2140" w14:paraId="7DE48CE2"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78023D13"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Faecal microbiota products</w:t>
            </w:r>
          </w:p>
        </w:tc>
        <w:tc>
          <w:tcPr>
            <w:tcW w:w="1665" w:type="dxa"/>
          </w:tcPr>
          <w:p w14:paraId="08EDEDCE"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Biomictra</w:t>
            </w:r>
            <w:proofErr w:type="spellEnd"/>
            <w:r w:rsidRPr="00DE2140">
              <w:rPr>
                <w:rFonts w:ascii="Times New Roman" w:eastAsia="ＭＳ Ｐ明朝" w:hAnsi="Times New Roman"/>
                <w:sz w:val="18"/>
                <w:szCs w:val="18"/>
              </w:rPr>
              <w:t>®</w:t>
            </w:r>
          </w:p>
          <w:p w14:paraId="2AC89A88"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Rebyota</w:t>
            </w:r>
            <w:proofErr w:type="spellEnd"/>
            <w:r w:rsidRPr="00DE2140">
              <w:rPr>
                <w:rFonts w:ascii="Times New Roman" w:eastAsia="ＭＳ Ｐ明朝" w:hAnsi="Times New Roman"/>
                <w:sz w:val="18"/>
                <w:szCs w:val="18"/>
              </w:rPr>
              <w:t>®</w:t>
            </w:r>
          </w:p>
        </w:tc>
        <w:tc>
          <w:tcPr>
            <w:tcW w:w="610" w:type="dxa"/>
          </w:tcPr>
          <w:p w14:paraId="6CDD0AB3"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564" w:type="dxa"/>
          </w:tcPr>
          <w:p w14:paraId="76F0772D"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0218E6D2"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(2)</w:t>
            </w:r>
          </w:p>
        </w:tc>
        <w:tc>
          <w:tcPr>
            <w:tcW w:w="880" w:type="dxa"/>
          </w:tcPr>
          <w:p w14:paraId="105BC84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C200CCA"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w:t>
            </w:r>
          </w:p>
        </w:tc>
        <w:tc>
          <w:tcPr>
            <w:tcW w:w="1515" w:type="dxa"/>
          </w:tcPr>
          <w:p w14:paraId="6497718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1802" w:type="dxa"/>
          </w:tcPr>
          <w:p w14:paraId="20EC3C10"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Treatment of </w:t>
            </w:r>
            <w:proofErr w:type="spellStart"/>
            <w:r w:rsidRPr="00DE2140">
              <w:rPr>
                <w:rFonts w:ascii="Times New Roman" w:eastAsia="ＭＳ Ｐ明朝" w:hAnsi="Times New Roman"/>
                <w:sz w:val="18"/>
                <w:szCs w:val="18"/>
              </w:rPr>
              <w:t>Clostridioides</w:t>
            </w:r>
            <w:proofErr w:type="spellEnd"/>
            <w:r w:rsidRPr="00DE2140">
              <w:rPr>
                <w:rFonts w:ascii="Times New Roman" w:eastAsia="ＭＳ Ｐ明朝" w:hAnsi="Times New Roman"/>
                <w:sz w:val="18"/>
                <w:szCs w:val="18"/>
              </w:rPr>
              <w:t xml:space="preserve"> difficile infection</w:t>
            </w:r>
          </w:p>
        </w:tc>
        <w:tc>
          <w:tcPr>
            <w:tcW w:w="1477" w:type="dxa"/>
          </w:tcPr>
          <w:p w14:paraId="21C905B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uncertain - potentially hospital inpatient or outpatient setting</w:t>
            </w:r>
          </w:p>
        </w:tc>
        <w:tc>
          <w:tcPr>
            <w:tcW w:w="2401" w:type="dxa"/>
          </w:tcPr>
          <w:p w14:paraId="37EDC18F"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uncertain</w:t>
            </w:r>
          </w:p>
        </w:tc>
        <w:tc>
          <w:tcPr>
            <w:tcW w:w="2544" w:type="dxa"/>
          </w:tcPr>
          <w:p w14:paraId="372750A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set up of infrastructure </w:t>
            </w:r>
          </w:p>
          <w:p w14:paraId="7A4D2DD7"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training of workforce to administer treatment </w:t>
            </w:r>
          </w:p>
        </w:tc>
      </w:tr>
      <w:tr w:rsidR="00530F3B" w:rsidRPr="00DE2140" w14:paraId="30E47BE6"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43FDBD00"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Therapeutic vaccines</w:t>
            </w:r>
          </w:p>
        </w:tc>
        <w:tc>
          <w:tcPr>
            <w:tcW w:w="1665" w:type="dxa"/>
          </w:tcPr>
          <w:p w14:paraId="78488F6D"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Oncotice</w:t>
            </w:r>
            <w:proofErr w:type="spellEnd"/>
            <w:r w:rsidRPr="00DE2140">
              <w:rPr>
                <w:rFonts w:ascii="Times New Roman" w:eastAsia="ＭＳ Ｐ明朝" w:hAnsi="Times New Roman"/>
                <w:sz w:val="18"/>
                <w:szCs w:val="18"/>
              </w:rPr>
              <w:t>®</w:t>
            </w:r>
          </w:p>
        </w:tc>
        <w:tc>
          <w:tcPr>
            <w:tcW w:w="610" w:type="dxa"/>
          </w:tcPr>
          <w:p w14:paraId="12B32E0E"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7EFA807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(2)</w:t>
            </w:r>
          </w:p>
        </w:tc>
        <w:tc>
          <w:tcPr>
            <w:tcW w:w="564" w:type="dxa"/>
          </w:tcPr>
          <w:p w14:paraId="6B1F239A"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24A5CB26"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(3)</w:t>
            </w:r>
          </w:p>
        </w:tc>
        <w:tc>
          <w:tcPr>
            <w:tcW w:w="880" w:type="dxa"/>
          </w:tcPr>
          <w:p w14:paraId="076F428E"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5258FB94"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w:t>
            </w:r>
          </w:p>
        </w:tc>
        <w:tc>
          <w:tcPr>
            <w:tcW w:w="1515" w:type="dxa"/>
          </w:tcPr>
          <w:p w14:paraId="3AB84D3C"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4B77C2EC"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w:t>
            </w:r>
          </w:p>
        </w:tc>
        <w:tc>
          <w:tcPr>
            <w:tcW w:w="1802" w:type="dxa"/>
          </w:tcPr>
          <w:p w14:paraId="4C7DC68E"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Cancer (other indications being trialled)</w:t>
            </w:r>
          </w:p>
        </w:tc>
        <w:tc>
          <w:tcPr>
            <w:tcW w:w="1477" w:type="dxa"/>
          </w:tcPr>
          <w:p w14:paraId="103701D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 and others)</w:t>
            </w:r>
          </w:p>
        </w:tc>
        <w:tc>
          <w:tcPr>
            <w:tcW w:w="2401" w:type="dxa"/>
          </w:tcPr>
          <w:p w14:paraId="294F51A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uncertain</w:t>
            </w:r>
          </w:p>
          <w:p w14:paraId="62FD443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individualised therapy</w:t>
            </w:r>
          </w:p>
        </w:tc>
        <w:tc>
          <w:tcPr>
            <w:tcW w:w="2544" w:type="dxa"/>
          </w:tcPr>
          <w:p w14:paraId="292FFC08"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for synthesis of individualised therapeutics using in-house facilities</w:t>
            </w:r>
          </w:p>
        </w:tc>
      </w:tr>
      <w:tr w:rsidR="00530F3B" w:rsidRPr="00DE2140" w14:paraId="03D88378"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4871FAD9"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lastRenderedPageBreak/>
              <w:t>Single gene tests and panel tests</w:t>
            </w:r>
          </w:p>
        </w:tc>
        <w:tc>
          <w:tcPr>
            <w:tcW w:w="1665" w:type="dxa"/>
          </w:tcPr>
          <w:p w14:paraId="57B13DEF"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Companion diagnostics for medicines</w:t>
            </w:r>
          </w:p>
          <w:p w14:paraId="45A1D144"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p w14:paraId="6BE5F691"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Panel test for diagnosis of neuromuscular disorders</w:t>
            </w:r>
          </w:p>
        </w:tc>
        <w:tc>
          <w:tcPr>
            <w:tcW w:w="610" w:type="dxa"/>
          </w:tcPr>
          <w:p w14:paraId="703102D9"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564" w:type="dxa"/>
          </w:tcPr>
          <w:p w14:paraId="23472782"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880" w:type="dxa"/>
          </w:tcPr>
          <w:p w14:paraId="7BC3769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1515" w:type="dxa"/>
          </w:tcPr>
          <w:p w14:paraId="14AAAE25"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Numerous subsidised by Commonwealth through the MBS, activity-based funding. States also fund tests outside of ABF in certain circumstances.</w:t>
            </w:r>
          </w:p>
        </w:tc>
        <w:tc>
          <w:tcPr>
            <w:tcW w:w="1802" w:type="dxa"/>
          </w:tcPr>
          <w:p w14:paraId="72E788F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Conditions where genetic variations cause disease, predispose carriers to greater risk of a certain disease, or modify effectiveness or safety of a therapy</w:t>
            </w:r>
          </w:p>
        </w:tc>
        <w:tc>
          <w:tcPr>
            <w:tcW w:w="1477" w:type="dxa"/>
          </w:tcPr>
          <w:p w14:paraId="377F8A6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Mixed settings (hospital inpatient and outpatient)</w:t>
            </w:r>
          </w:p>
        </w:tc>
        <w:tc>
          <w:tcPr>
            <w:tcW w:w="2401" w:type="dxa"/>
          </w:tcPr>
          <w:p w14:paraId="32ECB33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accuracy of companion diagnostic tests</w:t>
            </w:r>
          </w:p>
          <w:p w14:paraId="3DA4D24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broader use of test than sponsor seeks in application for subsidy</w:t>
            </w:r>
          </w:p>
          <w:p w14:paraId="77239A3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increasing stratification of disease leading to smaller evidence base.</w:t>
            </w:r>
          </w:p>
          <w:p w14:paraId="2BE071E5"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smaller evidence base resulting from trial designs</w:t>
            </w:r>
          </w:p>
          <w:p w14:paraId="5C7E3B53"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tests can have prognostic value in addition to clinical utility</w:t>
            </w:r>
          </w:p>
          <w:p w14:paraId="71B6D6E3"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algorithm for calculating risk in some panel tests not known</w:t>
            </w:r>
          </w:p>
        </w:tc>
        <w:tc>
          <w:tcPr>
            <w:tcW w:w="2544" w:type="dxa"/>
          </w:tcPr>
          <w:p w14:paraId="0E5EA65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alignment of funding decisions for test and linked therapy</w:t>
            </w:r>
          </w:p>
          <w:p w14:paraId="60205CC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large number of tests already in use across Australia </w:t>
            </w:r>
          </w:p>
          <w:p w14:paraId="5493295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existing tests are highly heterogenous, includes in-house facilities and commercial products </w:t>
            </w:r>
          </w:p>
          <w:p w14:paraId="2CA59E3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ownership of data</w:t>
            </w:r>
          </w:p>
          <w:p w14:paraId="68B2580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to supersede existing diagnostic methods, and change treatment algorithms that form criteria for subsidy</w:t>
            </w:r>
          </w:p>
          <w:p w14:paraId="1CE7CE0D"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r>
      <w:tr w:rsidR="00D1041E" w:rsidRPr="00DE2140" w14:paraId="2AB489B0"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243855A8"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Gene expression tests</w:t>
            </w:r>
          </w:p>
        </w:tc>
        <w:tc>
          <w:tcPr>
            <w:tcW w:w="1665" w:type="dxa"/>
          </w:tcPr>
          <w:p w14:paraId="203AD750"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EndoPredict</w:t>
            </w:r>
            <w:proofErr w:type="spellEnd"/>
            <w:r w:rsidRPr="00DE2140">
              <w:rPr>
                <w:rFonts w:ascii="Times New Roman" w:eastAsia="ＭＳ Ｐ明朝" w:hAnsi="Times New Roman"/>
                <w:sz w:val="18"/>
                <w:szCs w:val="18"/>
              </w:rPr>
              <w:t>®</w:t>
            </w:r>
          </w:p>
          <w:p w14:paraId="0C62E445"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Oncotype DX®</w:t>
            </w:r>
          </w:p>
        </w:tc>
        <w:tc>
          <w:tcPr>
            <w:tcW w:w="610" w:type="dxa"/>
          </w:tcPr>
          <w:p w14:paraId="48DBD420"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NA</w:t>
            </w:r>
          </w:p>
        </w:tc>
        <w:tc>
          <w:tcPr>
            <w:tcW w:w="564" w:type="dxa"/>
            <w:shd w:val="clear" w:color="auto" w:fill="auto"/>
          </w:tcPr>
          <w:p w14:paraId="3465BE25"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880" w:type="dxa"/>
            <w:shd w:val="clear" w:color="auto" w:fill="auto"/>
          </w:tcPr>
          <w:p w14:paraId="3E3C6835"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1515" w:type="dxa"/>
          </w:tcPr>
          <w:p w14:paraId="2E76A02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p w14:paraId="17E9FAE4"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1 (MBS)</w:t>
            </w:r>
          </w:p>
        </w:tc>
        <w:tc>
          <w:tcPr>
            <w:tcW w:w="1802" w:type="dxa"/>
          </w:tcPr>
          <w:p w14:paraId="064ABBB2"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Prediction of diseases such as recurrence of breast cancer, or transplant rejection</w:t>
            </w:r>
          </w:p>
        </w:tc>
        <w:tc>
          <w:tcPr>
            <w:tcW w:w="1477" w:type="dxa"/>
          </w:tcPr>
          <w:p w14:paraId="7C0F5E59"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Uncertain</w:t>
            </w:r>
          </w:p>
        </w:tc>
        <w:tc>
          <w:tcPr>
            <w:tcW w:w="2401" w:type="dxa"/>
          </w:tcPr>
          <w:p w14:paraId="74A36F7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poor evidence of clinical utility</w:t>
            </w:r>
          </w:p>
          <w:p w14:paraId="3CF93C05"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cost</w:t>
            </w:r>
          </w:p>
          <w:p w14:paraId="40806069"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algorithms for calculating risk in some tests not known</w:t>
            </w:r>
          </w:p>
        </w:tc>
        <w:tc>
          <w:tcPr>
            <w:tcW w:w="2544" w:type="dxa"/>
          </w:tcPr>
          <w:p w14:paraId="17FF78C2"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high cost</w:t>
            </w:r>
          </w:p>
          <w:p w14:paraId="3EC8716F"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need for individual quality assurance for different tests</w:t>
            </w:r>
          </w:p>
        </w:tc>
      </w:tr>
      <w:tr w:rsidR="00D1041E" w:rsidRPr="00DE2140" w14:paraId="1C868448"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6B130106"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t>Polygenic Risk Scores</w:t>
            </w:r>
          </w:p>
        </w:tc>
        <w:tc>
          <w:tcPr>
            <w:tcW w:w="1665" w:type="dxa"/>
          </w:tcPr>
          <w:p w14:paraId="531B261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None</w:t>
            </w:r>
          </w:p>
        </w:tc>
        <w:tc>
          <w:tcPr>
            <w:tcW w:w="610" w:type="dxa"/>
          </w:tcPr>
          <w:p w14:paraId="5390EAD7"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564" w:type="dxa"/>
            <w:shd w:val="clear" w:color="auto" w:fill="auto"/>
          </w:tcPr>
          <w:p w14:paraId="798E1391"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880" w:type="dxa"/>
            <w:shd w:val="clear" w:color="auto" w:fill="auto"/>
          </w:tcPr>
          <w:p w14:paraId="5A919D3B"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w:t>
            </w:r>
          </w:p>
        </w:tc>
        <w:tc>
          <w:tcPr>
            <w:tcW w:w="1515" w:type="dxa"/>
          </w:tcPr>
          <w:p w14:paraId="1F49CE81"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None</w:t>
            </w:r>
          </w:p>
        </w:tc>
        <w:tc>
          <w:tcPr>
            <w:tcW w:w="1802" w:type="dxa"/>
          </w:tcPr>
          <w:p w14:paraId="6D83FE2E"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Conditions where genetic variations cause disease, predispose carriers to greater risk of a certain disease, or modify effectiveness or safety of a therapy</w:t>
            </w:r>
          </w:p>
        </w:tc>
        <w:tc>
          <w:tcPr>
            <w:tcW w:w="1477" w:type="dxa"/>
          </w:tcPr>
          <w:p w14:paraId="7BBB2A4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Uncertain</w:t>
            </w:r>
          </w:p>
        </w:tc>
        <w:tc>
          <w:tcPr>
            <w:tcW w:w="2401" w:type="dxa"/>
          </w:tcPr>
          <w:p w14:paraId="565325CA"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potential utility in a broad range of clinical settings (multiple comparators, and health outcomes depending on genes analysed) </w:t>
            </w:r>
          </w:p>
          <w:p w14:paraId="4EDD916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variable and opaque methodologies for calculating risk </w:t>
            </w:r>
          </w:p>
        </w:tc>
        <w:tc>
          <w:tcPr>
            <w:tcW w:w="2544" w:type="dxa"/>
          </w:tcPr>
          <w:p w14:paraId="2520AA5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incidental findings may result in additional interactions with the health system</w:t>
            </w:r>
          </w:p>
          <w:p w14:paraId="71327CE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to supersede existing diagnostic methods, and change treatment algorithms that form criteria for subsidy</w:t>
            </w:r>
          </w:p>
          <w:p w14:paraId="38ED97F5"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ownership of genomic data</w:t>
            </w:r>
          </w:p>
          <w:p w14:paraId="0DEB7224"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r>
      <w:tr w:rsidR="00530F3B" w:rsidRPr="00DE2140" w14:paraId="6623D564" w14:textId="77777777" w:rsidTr="00607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6F8D7048" w14:textId="77777777" w:rsidR="00D1041E" w:rsidRPr="00DE2140" w:rsidRDefault="00D1041E" w:rsidP="00DE2140">
            <w:pPr>
              <w:snapToGrid w:val="0"/>
              <w:spacing w:line="160" w:lineRule="atLeast"/>
              <w:rPr>
                <w:rFonts w:ascii="Times New Roman" w:eastAsia="ＭＳ Ｐ明朝" w:hAnsi="Times New Roman"/>
                <w:sz w:val="18"/>
                <w:szCs w:val="18"/>
              </w:rPr>
            </w:pPr>
            <w:proofErr w:type="spellStart"/>
            <w:r w:rsidRPr="00DE2140">
              <w:rPr>
                <w:rFonts w:ascii="Times New Roman" w:eastAsia="ＭＳ Ｐ明朝" w:hAnsi="Times New Roman"/>
                <w:sz w:val="18"/>
                <w:szCs w:val="18"/>
              </w:rPr>
              <w:t>Radiotheranostics</w:t>
            </w:r>
            <w:proofErr w:type="spellEnd"/>
            <w:r w:rsidRPr="00DE2140">
              <w:rPr>
                <w:rFonts w:ascii="Times New Roman" w:eastAsia="ＭＳ Ｐ明朝" w:hAnsi="Times New Roman"/>
                <w:sz w:val="18"/>
                <w:szCs w:val="18"/>
              </w:rPr>
              <w:t xml:space="preserve"> (Radioligand therapy &amp; companion radioactive diagnostic agents)</w:t>
            </w:r>
          </w:p>
        </w:tc>
        <w:tc>
          <w:tcPr>
            <w:tcW w:w="1665" w:type="dxa"/>
          </w:tcPr>
          <w:p w14:paraId="201967DB"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Lutathera</w:t>
            </w:r>
            <w:proofErr w:type="spellEnd"/>
            <w:r w:rsidRPr="00DE2140">
              <w:rPr>
                <w:rFonts w:ascii="Times New Roman" w:eastAsia="ＭＳ Ｐ明朝" w:hAnsi="Times New Roman"/>
                <w:sz w:val="18"/>
                <w:szCs w:val="18"/>
              </w:rPr>
              <w:t>®</w:t>
            </w:r>
          </w:p>
          <w:p w14:paraId="09B1ED0A"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proofErr w:type="spellStart"/>
            <w:r w:rsidRPr="00DE2140">
              <w:rPr>
                <w:rFonts w:ascii="Times New Roman" w:eastAsia="ＭＳ Ｐ明朝" w:hAnsi="Times New Roman"/>
                <w:sz w:val="18"/>
                <w:szCs w:val="18"/>
              </w:rPr>
              <w:t>Pluvicto</w:t>
            </w:r>
            <w:proofErr w:type="spellEnd"/>
            <w:r w:rsidRPr="00DE2140">
              <w:rPr>
                <w:rFonts w:ascii="Times New Roman" w:eastAsia="ＭＳ Ｐ明朝" w:hAnsi="Times New Roman"/>
                <w:sz w:val="18"/>
                <w:szCs w:val="18"/>
              </w:rPr>
              <w:t>®</w:t>
            </w:r>
          </w:p>
          <w:p w14:paraId="09DF601E"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177Lu PSMA </w:t>
            </w:r>
            <w:proofErr w:type="spellStart"/>
            <w:r w:rsidRPr="00DE2140">
              <w:rPr>
                <w:rFonts w:ascii="Times New Roman" w:eastAsia="ＭＳ Ｐ明朝" w:hAnsi="Times New Roman"/>
                <w:sz w:val="18"/>
                <w:szCs w:val="18"/>
              </w:rPr>
              <w:t>i&amp;t</w:t>
            </w:r>
            <w:proofErr w:type="spellEnd"/>
          </w:p>
        </w:tc>
        <w:tc>
          <w:tcPr>
            <w:tcW w:w="610" w:type="dxa"/>
          </w:tcPr>
          <w:p w14:paraId="59771D50"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564" w:type="dxa"/>
          </w:tcPr>
          <w:p w14:paraId="49AC6BAA"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880" w:type="dxa"/>
          </w:tcPr>
          <w:p w14:paraId="76AB3E48"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1515" w:type="dxa"/>
          </w:tcPr>
          <w:p w14:paraId="22815515"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Not supported (MSAC)</w:t>
            </w:r>
          </w:p>
        </w:tc>
        <w:tc>
          <w:tcPr>
            <w:tcW w:w="1802" w:type="dxa"/>
          </w:tcPr>
          <w:p w14:paraId="56A9C318" w14:textId="77777777" w:rsidR="00D1041E" w:rsidRPr="00DE2140" w:rsidRDefault="00D1041E" w:rsidP="00DE2140">
            <w:pPr>
              <w:snapToGrid w:val="0"/>
              <w:spacing w:line="160"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Solid tumours</w:t>
            </w:r>
          </w:p>
        </w:tc>
        <w:tc>
          <w:tcPr>
            <w:tcW w:w="1477" w:type="dxa"/>
          </w:tcPr>
          <w:p w14:paraId="49AE5FF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Delivered by nuclear medicine specialists in specialist</w:t>
            </w:r>
          </w:p>
          <w:p w14:paraId="41A43DF4"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outpatient facilities</w:t>
            </w:r>
          </w:p>
        </w:tc>
        <w:tc>
          <w:tcPr>
            <w:tcW w:w="2401" w:type="dxa"/>
          </w:tcPr>
          <w:p w14:paraId="54E98E75"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none identified</w:t>
            </w:r>
          </w:p>
        </w:tc>
        <w:tc>
          <w:tcPr>
            <w:tcW w:w="2544" w:type="dxa"/>
          </w:tcPr>
          <w:p w14:paraId="1F0B1006"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complex and resource intensive implementation</w:t>
            </w:r>
          </w:p>
          <w:p w14:paraId="067270C7"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requires capital investment and use of specialised facilities</w:t>
            </w:r>
          </w:p>
          <w:p w14:paraId="6F5D376A" w14:textId="77777777" w:rsidR="00D1041E" w:rsidRPr="00DE2140" w:rsidRDefault="00D1041E" w:rsidP="00DE2140">
            <w:pPr>
              <w:snapToGrid w:val="0"/>
              <w:spacing w:line="160" w:lineRule="atLeast"/>
              <w:cnfStyle w:val="000000100000" w:firstRow="0" w:lastRow="0" w:firstColumn="0" w:lastColumn="0" w:oddVBand="0" w:evenVBand="0" w:oddHBand="1" w:evenHBand="0"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requires arrangements for appropriate disposal </w:t>
            </w:r>
          </w:p>
        </w:tc>
      </w:tr>
      <w:tr w:rsidR="00530F3B" w:rsidRPr="00DE2140" w14:paraId="621FE4B7" w14:textId="77777777" w:rsidTr="0060777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9" w:type="dxa"/>
          </w:tcPr>
          <w:p w14:paraId="07BE4F26" w14:textId="77777777" w:rsidR="00D1041E" w:rsidRPr="00DE2140" w:rsidRDefault="00D1041E" w:rsidP="00DE2140">
            <w:pPr>
              <w:snapToGrid w:val="0"/>
              <w:spacing w:line="160" w:lineRule="atLeast"/>
              <w:rPr>
                <w:rFonts w:ascii="Times New Roman" w:eastAsia="ＭＳ Ｐ明朝" w:hAnsi="Times New Roman"/>
                <w:sz w:val="18"/>
                <w:szCs w:val="18"/>
              </w:rPr>
            </w:pPr>
            <w:r w:rsidRPr="00DE2140">
              <w:rPr>
                <w:rFonts w:ascii="Times New Roman" w:eastAsia="ＭＳ Ｐ明朝" w:hAnsi="Times New Roman"/>
                <w:sz w:val="18"/>
                <w:szCs w:val="18"/>
              </w:rPr>
              <w:lastRenderedPageBreak/>
              <w:t>Digital health technologies</w:t>
            </w:r>
          </w:p>
        </w:tc>
        <w:tc>
          <w:tcPr>
            <w:tcW w:w="1665" w:type="dxa"/>
          </w:tcPr>
          <w:p w14:paraId="2AEF14E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Medication adherence applications</w:t>
            </w:r>
          </w:p>
          <w:p w14:paraId="3101F9A6"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Clinical decision support systems</w:t>
            </w:r>
          </w:p>
          <w:p w14:paraId="33D32854"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Health monitoring devices</w:t>
            </w:r>
          </w:p>
          <w:p w14:paraId="46BEDBE2"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Algorithms for disease risk profiling</w:t>
            </w:r>
          </w:p>
          <w:p w14:paraId="23063DE0"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c>
          <w:tcPr>
            <w:tcW w:w="610" w:type="dxa"/>
          </w:tcPr>
          <w:p w14:paraId="41808CDF"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c>
          <w:tcPr>
            <w:tcW w:w="564" w:type="dxa"/>
          </w:tcPr>
          <w:p w14:paraId="7BA92053"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c>
          <w:tcPr>
            <w:tcW w:w="880" w:type="dxa"/>
          </w:tcPr>
          <w:p w14:paraId="2249FDC6"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 (as medical devices)</w:t>
            </w:r>
          </w:p>
        </w:tc>
        <w:tc>
          <w:tcPr>
            <w:tcW w:w="1515" w:type="dxa"/>
          </w:tcPr>
          <w:p w14:paraId="0B9964E2"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Y</w:t>
            </w:r>
          </w:p>
        </w:tc>
        <w:tc>
          <w:tcPr>
            <w:tcW w:w="1802" w:type="dxa"/>
          </w:tcPr>
          <w:p w14:paraId="16BFDE50" w14:textId="77777777" w:rsidR="00D1041E" w:rsidRPr="00DE2140" w:rsidRDefault="00D1041E" w:rsidP="00DE2140">
            <w:pPr>
              <w:snapToGrid w:val="0"/>
              <w:spacing w:line="160" w:lineRule="atLeast"/>
              <w:jc w:val="center"/>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Many</w:t>
            </w:r>
          </w:p>
        </w:tc>
        <w:tc>
          <w:tcPr>
            <w:tcW w:w="1477" w:type="dxa"/>
          </w:tcPr>
          <w:p w14:paraId="59C05CFB"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All</w:t>
            </w:r>
          </w:p>
        </w:tc>
        <w:tc>
          <w:tcPr>
            <w:tcW w:w="2401" w:type="dxa"/>
          </w:tcPr>
          <w:p w14:paraId="43BBF2AF"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variability, quality, and generalisability of data</w:t>
            </w:r>
          </w:p>
          <w:p w14:paraId="1C59F3D3"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xml:space="preserve">- algorithms for calculating risk in some tests not known </w:t>
            </w:r>
          </w:p>
        </w:tc>
        <w:tc>
          <w:tcPr>
            <w:tcW w:w="2544" w:type="dxa"/>
          </w:tcPr>
          <w:p w14:paraId="41EBADBC"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r w:rsidRPr="00DE2140">
              <w:rPr>
                <w:rFonts w:ascii="Times New Roman" w:eastAsia="ＭＳ Ｐ明朝" w:hAnsi="Times New Roman"/>
                <w:sz w:val="18"/>
                <w:szCs w:val="18"/>
              </w:rPr>
              <w:t>- potential to supersede existing diagnostic methods, and change treatment algorithms that form criteria for subsidy</w:t>
            </w:r>
          </w:p>
          <w:p w14:paraId="0974D519" w14:textId="77777777" w:rsidR="00D1041E" w:rsidRPr="00DE2140" w:rsidRDefault="00D1041E" w:rsidP="00DE2140">
            <w:pPr>
              <w:snapToGrid w:val="0"/>
              <w:spacing w:line="160" w:lineRule="atLeast"/>
              <w:cnfStyle w:val="000000010000" w:firstRow="0" w:lastRow="0" w:firstColumn="0" w:lastColumn="0" w:oddVBand="0" w:evenVBand="0" w:oddHBand="0" w:evenHBand="1" w:firstRowFirstColumn="0" w:firstRowLastColumn="0" w:lastRowFirstColumn="0" w:lastRowLastColumn="0"/>
              <w:rPr>
                <w:rFonts w:ascii="Times New Roman" w:eastAsia="ＭＳ Ｐ明朝" w:hAnsi="Times New Roman"/>
                <w:sz w:val="18"/>
                <w:szCs w:val="18"/>
              </w:rPr>
            </w:pPr>
          </w:p>
        </w:tc>
      </w:tr>
    </w:tbl>
    <w:p w14:paraId="7C962901" w14:textId="77777777" w:rsidR="00D1041E" w:rsidRPr="00DE2140" w:rsidRDefault="00D1041E" w:rsidP="00DE2140">
      <w:pPr>
        <w:pStyle w:val="ad"/>
        <w:snapToGrid w:val="0"/>
        <w:spacing w:before="0" w:line="240" w:lineRule="atLeast"/>
        <w:rPr>
          <w:rFonts w:ascii="Times New Roman" w:eastAsia="ＭＳ Ｐ明朝" w:hAnsi="Times New Roman" w:cs="Times New Roman"/>
        </w:rPr>
      </w:pPr>
      <w:r w:rsidRPr="00DE2140">
        <w:rPr>
          <w:rFonts w:ascii="Times New Roman" w:eastAsia="ＭＳ Ｐ明朝" w:hAnsi="Times New Roman" w:cs="Times New Roman"/>
          <w:sz w:val="16"/>
          <w:szCs w:val="16"/>
        </w:rPr>
        <w:t xml:space="preserve">Y = there are technologies of the specified category that have market authorisation from the EMA, FDA, or TGA or are subsidised in Australia; (n) = the number of health technologies of the specified categories identified that have market authorisation from the EMA, FDA, or TGA or are subsidised in Australia; N = there are no examples of the technologies of the specified category that have market authorisation in relevant jurisdictions.    </w:t>
      </w:r>
      <w:bookmarkStart w:id="7" w:name="_Toc128577890"/>
      <w:bookmarkStart w:id="8" w:name="_Toc128579877"/>
      <w:bookmarkStart w:id="9" w:name="_Toc128581458"/>
      <w:bookmarkStart w:id="10" w:name="_Toc128582359"/>
      <w:bookmarkStart w:id="11" w:name="_Toc128577891"/>
      <w:bookmarkStart w:id="12" w:name="_Toc128579878"/>
      <w:bookmarkStart w:id="13" w:name="_Toc128581459"/>
      <w:bookmarkStart w:id="14" w:name="_Toc128582360"/>
      <w:bookmarkStart w:id="15" w:name="_Toc128577892"/>
      <w:bookmarkStart w:id="16" w:name="_Toc128579879"/>
      <w:bookmarkStart w:id="17" w:name="_Toc128581460"/>
      <w:bookmarkStart w:id="18" w:name="_Toc128582361"/>
      <w:bookmarkStart w:id="19" w:name="_Toc128577893"/>
      <w:bookmarkStart w:id="20" w:name="_Toc128579880"/>
      <w:bookmarkStart w:id="21" w:name="_Toc128581461"/>
      <w:bookmarkStart w:id="22" w:name="_Toc128582362"/>
      <w:bookmarkStart w:id="23" w:name="_Toc128577894"/>
      <w:bookmarkStart w:id="24" w:name="_Toc128579881"/>
      <w:bookmarkStart w:id="25" w:name="_Toc128581462"/>
      <w:bookmarkStart w:id="26" w:name="_Toc128582363"/>
      <w:bookmarkStart w:id="27" w:name="_Toc128577895"/>
      <w:bookmarkStart w:id="28" w:name="_Toc128579882"/>
      <w:bookmarkStart w:id="29" w:name="_Toc128581463"/>
      <w:bookmarkStart w:id="30" w:name="_Toc128582364"/>
      <w:bookmarkStart w:id="31" w:name="_Toc128577896"/>
      <w:bookmarkStart w:id="32" w:name="_Toc128579883"/>
      <w:bookmarkStart w:id="33" w:name="_Toc128581464"/>
      <w:bookmarkStart w:id="34" w:name="_Toc128582365"/>
      <w:bookmarkStart w:id="35" w:name="_Toc128577897"/>
      <w:bookmarkStart w:id="36" w:name="_Toc128579884"/>
      <w:bookmarkStart w:id="37" w:name="_Toc128581465"/>
      <w:bookmarkStart w:id="38" w:name="_Toc128582366"/>
      <w:bookmarkStart w:id="39" w:name="_Toc128577898"/>
      <w:bookmarkStart w:id="40" w:name="_Toc128579885"/>
      <w:bookmarkStart w:id="41" w:name="_Toc128581466"/>
      <w:bookmarkStart w:id="42" w:name="_Toc128582367"/>
      <w:bookmarkStart w:id="43" w:name="_Toc128577899"/>
      <w:bookmarkStart w:id="44" w:name="_Toc128579886"/>
      <w:bookmarkStart w:id="45" w:name="_Toc128581467"/>
      <w:bookmarkStart w:id="46" w:name="_Toc128582368"/>
      <w:bookmarkStart w:id="47" w:name="_Toc128577900"/>
      <w:bookmarkStart w:id="48" w:name="_Toc128579887"/>
      <w:bookmarkStart w:id="49" w:name="_Toc128581468"/>
      <w:bookmarkStart w:id="50" w:name="_Toc12858236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DE2140">
        <w:rPr>
          <w:rFonts w:ascii="Times New Roman" w:eastAsia="ＭＳ Ｐ明朝" w:hAnsi="Times New Roman" w:cs="Times New Roman"/>
          <w:color w:val="000000"/>
          <w:sz w:val="16"/>
          <w:szCs w:val="16"/>
          <w:shd w:val="clear" w:color="auto" w:fill="FFFFFF"/>
        </w:rPr>
        <w:br/>
      </w:r>
    </w:p>
    <w:p w14:paraId="27AFF41D" w14:textId="77777777" w:rsidR="00D1041E" w:rsidRPr="00DE2140" w:rsidRDefault="00D1041E" w:rsidP="00530F3B">
      <w:pPr>
        <w:spacing w:afterLines="50" w:after="120" w:line="240" w:lineRule="auto"/>
        <w:rPr>
          <w:rFonts w:ascii="Times New Roman" w:eastAsia="ＭＳ Ｐ明朝" w:hAnsi="Times New Roman" w:cs="Times New Roman"/>
        </w:rPr>
        <w:sectPr w:rsidR="00D1041E" w:rsidRPr="00DE2140" w:rsidSect="00D1041E">
          <w:pgSz w:w="16838" w:h="11906" w:orient="landscape"/>
          <w:pgMar w:top="720" w:right="720" w:bottom="720" w:left="720" w:header="720" w:footer="720" w:gutter="0"/>
          <w:cols w:space="720"/>
          <w:docGrid w:linePitch="360"/>
        </w:sectPr>
      </w:pPr>
    </w:p>
    <w:p w14:paraId="2434D3FA" w14:textId="77777777" w:rsidR="00D1041E" w:rsidRPr="00DE2140" w:rsidRDefault="00D1041E" w:rsidP="002B7516">
      <w:pPr>
        <w:pStyle w:val="2"/>
        <w:spacing w:before="0" w:afterLines="50" w:after="175" w:line="240" w:lineRule="auto"/>
        <w:ind w:left="709" w:hanging="709"/>
        <w:rPr>
          <w:rFonts w:ascii="Times New Roman" w:eastAsia="ＭＳ Ｐ明朝" w:hAnsi="Times New Roman" w:cs="Times New Roman"/>
        </w:rPr>
      </w:pPr>
      <w:bookmarkStart w:id="51" w:name="_Toc128577906"/>
      <w:bookmarkStart w:id="52" w:name="_Toc128579893"/>
      <w:bookmarkStart w:id="53" w:name="_Toc128581474"/>
      <w:bookmarkStart w:id="54" w:name="_Toc128582375"/>
      <w:bookmarkStart w:id="55" w:name="_Toc128577907"/>
      <w:bookmarkStart w:id="56" w:name="_Toc128579894"/>
      <w:bookmarkStart w:id="57" w:name="_Toc128581475"/>
      <w:bookmarkStart w:id="58" w:name="_Toc128582376"/>
      <w:bookmarkStart w:id="59" w:name="_Toc128577908"/>
      <w:bookmarkStart w:id="60" w:name="_Toc128579895"/>
      <w:bookmarkStart w:id="61" w:name="_Toc128581476"/>
      <w:bookmarkStart w:id="62" w:name="_Toc128582377"/>
      <w:bookmarkStart w:id="63" w:name="_Toc128577909"/>
      <w:bookmarkStart w:id="64" w:name="_Toc128579896"/>
      <w:bookmarkStart w:id="65" w:name="_Toc128581477"/>
      <w:bookmarkStart w:id="66" w:name="_Toc128582378"/>
      <w:bookmarkStart w:id="67" w:name="_Toc128577910"/>
      <w:bookmarkStart w:id="68" w:name="_Toc128579897"/>
      <w:bookmarkStart w:id="69" w:name="_Toc128581478"/>
      <w:bookmarkStart w:id="70" w:name="_Toc128582379"/>
      <w:bookmarkStart w:id="71" w:name="_Toc128577911"/>
      <w:bookmarkStart w:id="72" w:name="_Toc128579898"/>
      <w:bookmarkStart w:id="73" w:name="_Toc128581479"/>
      <w:bookmarkStart w:id="74" w:name="_Toc128582380"/>
      <w:bookmarkStart w:id="75" w:name="_Toc128577912"/>
      <w:bookmarkStart w:id="76" w:name="_Toc128579899"/>
      <w:bookmarkStart w:id="77" w:name="_Toc128581480"/>
      <w:bookmarkStart w:id="78" w:name="_Toc128582381"/>
      <w:bookmarkStart w:id="79" w:name="_Toc128577913"/>
      <w:bookmarkStart w:id="80" w:name="_Toc128579900"/>
      <w:bookmarkStart w:id="81" w:name="_Toc128581481"/>
      <w:bookmarkStart w:id="82" w:name="_Toc128582382"/>
      <w:bookmarkStart w:id="83" w:name="_Toc128577914"/>
      <w:bookmarkStart w:id="84" w:name="_Toc128579901"/>
      <w:bookmarkStart w:id="85" w:name="_Toc128581482"/>
      <w:bookmarkStart w:id="86" w:name="_Toc128582383"/>
      <w:bookmarkStart w:id="87" w:name="_Toc128577915"/>
      <w:bookmarkStart w:id="88" w:name="_Toc128579902"/>
      <w:bookmarkStart w:id="89" w:name="_Toc128581483"/>
      <w:bookmarkStart w:id="90" w:name="_Toc128582384"/>
      <w:bookmarkStart w:id="91" w:name="_Toc128577916"/>
      <w:bookmarkStart w:id="92" w:name="_Toc128579903"/>
      <w:bookmarkStart w:id="93" w:name="_Toc128581484"/>
      <w:bookmarkStart w:id="94" w:name="_Toc128582385"/>
      <w:bookmarkStart w:id="95" w:name="_Toc128579904"/>
      <w:bookmarkStart w:id="96" w:name="_Toc15890042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DE2140">
        <w:rPr>
          <w:rFonts w:ascii="Times New Roman" w:eastAsia="ＭＳ Ｐ明朝" w:hAnsi="Times New Roman" w:cs="Times New Roman"/>
        </w:rPr>
        <w:lastRenderedPageBreak/>
        <w:t>Issues raised in relation to emerging technologies</w:t>
      </w:r>
      <w:bookmarkEnd w:id="95"/>
      <w:bookmarkEnd w:id="96"/>
    </w:p>
    <w:p w14:paraId="75EB48AE" w14:textId="77777777"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本論文で検討した調査への提出書類、ホライゾン・スキャニング研究、その他の文書では、新技術によって生じるいくつかの課題が特定された。以下で簡単に要約するが、</w:t>
      </w:r>
      <w:r w:rsidRPr="002B7516">
        <w:rPr>
          <w:rFonts w:ascii="Times New Roman" w:eastAsia="ＭＳ Ｐ明朝" w:hAnsi="Times New Roman" w:cs="Times New Roman"/>
          <w:sz w:val="21"/>
          <w:szCs w:val="22"/>
        </w:rPr>
        <w:t>HTA</w:t>
      </w:r>
      <w:r w:rsidRPr="002B7516">
        <w:rPr>
          <w:rFonts w:ascii="Times New Roman" w:eastAsia="ＭＳ Ｐ明朝" w:hAnsi="Times New Roman" w:cs="Times New Roman"/>
          <w:sz w:val="21"/>
          <w:szCs w:val="22"/>
        </w:rPr>
        <w:t>レビューのサポートとして、後続の論文でより詳細に検討する予定である。</w:t>
      </w:r>
    </w:p>
    <w:p w14:paraId="14EFC6A0" w14:textId="77777777" w:rsidR="002B7516" w:rsidRPr="00DE2140" w:rsidRDefault="002B7516" w:rsidP="002B7516">
      <w:pPr>
        <w:pStyle w:val="3"/>
        <w:spacing w:before="0" w:afterLines="50" w:after="175" w:line="240" w:lineRule="auto"/>
        <w:ind w:left="709"/>
        <w:rPr>
          <w:rFonts w:ascii="Times New Roman" w:eastAsia="ＭＳ Ｐ明朝" w:hAnsi="Times New Roman" w:cs="Times New Roman"/>
        </w:rPr>
      </w:pPr>
      <w:r w:rsidRPr="00DE2140">
        <w:rPr>
          <w:rFonts w:ascii="Times New Roman" w:eastAsia="ＭＳ Ｐ明朝" w:hAnsi="Times New Roman" w:cs="Times New Roman"/>
        </w:rPr>
        <w:t>Assessment and funding pathways</w:t>
      </w:r>
    </w:p>
    <w:p w14:paraId="42E54107" w14:textId="77777777"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調査に意見書を提出した業界関係者は、遺伝子治療や遺伝子改変細胞治療などの特定の医療技術の評価方法に関して、スポンサー側の理解が不十分であると考えた。また、業界関係者は、相互依存技術に含まれる医薬品と診断検査のコンポーネントについて、評価手順、評価時期、資金調達メカニズムが異なることについても懸念を示した。</w:t>
      </w:r>
    </w:p>
    <w:p w14:paraId="6FFC8E65" w14:textId="21E7469F"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常任委員会および州・準州の利害関係者も、入院治療と外来治療の両方を受ける患者のケアの継続性にギャップが生じる可能性がある現行の資金調達体制について懸念を表明した</w:t>
      </w:r>
      <w:r w:rsidRPr="00DE2140">
        <w:rPr>
          <w:rFonts w:ascii="Times New Roman" w:eastAsia="ＭＳ Ｐ明朝" w:hAnsi="Times New Roman" w:cs="Times New Roman"/>
        </w:rPr>
        <w:t>.</w:t>
      </w:r>
      <w:r w:rsidRPr="00DE2140">
        <w:rPr>
          <w:rStyle w:val="af0"/>
          <w:rFonts w:ascii="Times New Roman" w:eastAsia="ＭＳ Ｐ明朝" w:hAnsi="Times New Roman" w:cs="Times New Roman"/>
        </w:rPr>
        <w:footnoteReference w:id="2"/>
      </w:r>
      <w:r w:rsidRPr="002B7516">
        <w:rPr>
          <w:rFonts w:ascii="Times New Roman" w:eastAsia="ＭＳ Ｐ明朝" w:hAnsi="Times New Roman" w:cs="Times New Roman"/>
          <w:sz w:val="21"/>
          <w:szCs w:val="22"/>
        </w:rPr>
        <w:t>。</w:t>
      </w:r>
    </w:p>
    <w:p w14:paraId="46EFA543" w14:textId="77777777" w:rsid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また、現在入院患者に対して行われている治療（</w:t>
      </w:r>
      <w:r w:rsidRPr="002B7516">
        <w:rPr>
          <w:rFonts w:ascii="Times New Roman" w:eastAsia="ＭＳ Ｐ明朝" w:hAnsi="Times New Roman" w:cs="Times New Roman"/>
          <w:sz w:val="21"/>
          <w:szCs w:val="22"/>
        </w:rPr>
        <w:t>CAR-T</w:t>
      </w:r>
      <w:r w:rsidRPr="002B7516">
        <w:rPr>
          <w:rFonts w:ascii="Times New Roman" w:eastAsia="ＭＳ Ｐ明朝" w:hAnsi="Times New Roman" w:cs="Times New Roman"/>
          <w:sz w:val="21"/>
          <w:szCs w:val="22"/>
        </w:rPr>
        <w:t>細胞療法など）が外来治療に移行する可能性や、その場合の資金調達方法についても懸念が示されている。</w:t>
      </w:r>
    </w:p>
    <w:p w14:paraId="33B4B861" w14:textId="77777777" w:rsidR="002B7516" w:rsidRPr="002B7516" w:rsidRDefault="002B7516" w:rsidP="002B7516">
      <w:pPr>
        <w:spacing w:afterLines="50" w:after="175" w:line="240" w:lineRule="auto"/>
        <w:rPr>
          <w:rFonts w:ascii="Times New Roman" w:eastAsia="ＭＳ Ｐ明朝" w:hAnsi="Times New Roman" w:cs="Times New Roman" w:hint="eastAsia"/>
          <w:sz w:val="21"/>
          <w:szCs w:val="22"/>
        </w:rPr>
      </w:pPr>
    </w:p>
    <w:p w14:paraId="1BDC8EDB" w14:textId="77777777" w:rsidR="002B7516" w:rsidRPr="0023724D" w:rsidRDefault="002B7516" w:rsidP="002B7516">
      <w:pPr>
        <w:pStyle w:val="3"/>
        <w:spacing w:before="0" w:afterLines="50" w:after="175" w:line="240" w:lineRule="auto"/>
        <w:ind w:left="709"/>
      </w:pPr>
      <w:r>
        <w:t>HTA Challenges</w:t>
      </w:r>
    </w:p>
    <w:p w14:paraId="135B4A32" w14:textId="11CD8CD5"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HTA</w:t>
      </w:r>
      <w:r w:rsidRPr="002B7516">
        <w:rPr>
          <w:rFonts w:ascii="Times New Roman" w:eastAsia="ＭＳ Ｐ明朝" w:hAnsi="Times New Roman" w:cs="Times New Roman"/>
          <w:sz w:val="21"/>
          <w:szCs w:val="22"/>
        </w:rPr>
        <w:t>における課題は、技術によって異なる。特定の遺伝子変異や遺伝子発現プロファイルを対象とした治療法は、評価方法にとって最大の課題であると認識されている</w:t>
      </w:r>
      <w:r w:rsidR="00AE417C" w:rsidRPr="00DE2140">
        <w:rPr>
          <w:rFonts w:ascii="Times New Roman" w:eastAsia="ＭＳ Ｐ明朝" w:hAnsi="Times New Roman" w:cs="Times New Roman"/>
          <w:vertAlign w:val="superscript"/>
        </w:rPr>
        <w:footnoteReference w:id="3"/>
      </w:r>
      <w:r w:rsidRPr="002B7516">
        <w:rPr>
          <w:rFonts w:ascii="Times New Roman" w:eastAsia="ＭＳ Ｐ明朝" w:hAnsi="Times New Roman" w:cs="Times New Roman"/>
          <w:sz w:val="21"/>
          <w:szCs w:val="22"/>
        </w:rPr>
        <w:t>。これには、遺伝子治療、遺伝子サイレンシングオリゴヌクレオチド、遺伝子改変細胞療法、腫瘍非依存性抗がん剤、遺伝子発現アッセイに基づく薬剤の使用などが含まれる。</w:t>
      </w:r>
    </w:p>
    <w:p w14:paraId="303A14D7" w14:textId="7ABE8705"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これらの療法の評価における主な課題として、安全性と有効性を判断するための臨床試験の設計に関する高品質データの欠如と不確実性の高さが指摘されている</w:t>
      </w:r>
      <w:r w:rsidR="00AE417C" w:rsidRPr="00DE2140">
        <w:rPr>
          <w:rFonts w:ascii="Times New Roman" w:eastAsia="ＭＳ Ｐ明朝" w:hAnsi="Times New Roman" w:cs="Times New Roman"/>
          <w:vertAlign w:val="superscript"/>
        </w:rPr>
        <w:footnoteReference w:id="4"/>
      </w:r>
      <w:r w:rsidRPr="002B7516">
        <w:rPr>
          <w:rFonts w:ascii="Times New Roman" w:eastAsia="ＭＳ Ｐ明朝" w:hAnsi="Times New Roman" w:cs="Times New Roman"/>
          <w:sz w:val="21"/>
          <w:szCs w:val="22"/>
        </w:rPr>
        <w:t>。これらの療法の臨床試験は、有効性が持続するとされる期間よりもはるかに短い場合が多く、長期的な有効性については大きな</w:t>
      </w:r>
      <w:r w:rsidRPr="002B7516">
        <w:rPr>
          <w:rFonts w:ascii="Times New Roman" w:eastAsia="ＭＳ Ｐ明朝" w:hAnsi="Times New Roman" w:cs="Times New Roman"/>
          <w:sz w:val="21"/>
          <w:szCs w:val="22"/>
        </w:rPr>
        <w:lastRenderedPageBreak/>
        <w:t>不確実性が伴う。</w:t>
      </w:r>
    </w:p>
    <w:p w14:paraId="3F3E4A2E" w14:textId="77777777"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また、これらの治療法は、特に新たな病原性遺伝子変異が発見されるたびに、対象人口を段階的に絞り込んで開発が進められている。そのため、従来の段階的臨床試験では対象患者数が段階的に減少しており、バスケット試験の開発も進められている。疾患人口が少ない場合、安全性と有効性の大幅な改善を示す第</w:t>
      </w:r>
      <w:r w:rsidRPr="002B7516">
        <w:rPr>
          <w:rFonts w:ascii="Times New Roman" w:eastAsia="ＭＳ Ｐ明朝" w:hAnsi="Times New Roman" w:cs="Times New Roman"/>
          <w:sz w:val="21"/>
          <w:szCs w:val="22"/>
        </w:rPr>
        <w:t>2</w:t>
      </w:r>
      <w:r w:rsidRPr="002B7516">
        <w:rPr>
          <w:rFonts w:ascii="Times New Roman" w:eastAsia="ＭＳ Ｐ明朝" w:hAnsi="Times New Roman" w:cs="Times New Roman"/>
          <w:sz w:val="21"/>
          <w:szCs w:val="22"/>
        </w:rPr>
        <w:t>相試験は、同じ病期の第</w:t>
      </w:r>
      <w:r w:rsidRPr="002B7516">
        <w:rPr>
          <w:rFonts w:ascii="Times New Roman" w:eastAsia="ＭＳ Ｐ明朝" w:hAnsi="Times New Roman" w:cs="Times New Roman"/>
          <w:sz w:val="21"/>
          <w:szCs w:val="22"/>
        </w:rPr>
        <w:t>3</w:t>
      </w:r>
      <w:r w:rsidRPr="002B7516">
        <w:rPr>
          <w:rFonts w:ascii="Times New Roman" w:eastAsia="ＭＳ Ｐ明朝" w:hAnsi="Times New Roman" w:cs="Times New Roman"/>
          <w:sz w:val="21"/>
          <w:szCs w:val="22"/>
        </w:rPr>
        <w:t>相試験に進まずに暫定的な市場承認を得るのに十分であると見なされ、異なる病期から収集された確認データが使用される。</w:t>
      </w:r>
    </w:p>
    <w:p w14:paraId="53B0AAE4" w14:textId="77777777" w:rsid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また、特定の患者の特定の遺伝子に作用するように設計された治療（例えば、遺伝子治療や遺伝子サイレンシングオリゴヌクレオチド）を自社施設で製造する治療モデルも開発されている。個々の患者に合わせた治療法の安全性と有効性を臨床試験で確立することは不可能である。</w:t>
      </w:r>
    </w:p>
    <w:p w14:paraId="74D7938A" w14:textId="77777777" w:rsidR="002B7516" w:rsidRPr="002B7516" w:rsidRDefault="002B7516" w:rsidP="002B7516">
      <w:pPr>
        <w:spacing w:afterLines="50" w:after="175" w:line="240" w:lineRule="auto"/>
        <w:rPr>
          <w:rFonts w:ascii="Times New Roman" w:eastAsia="ＭＳ Ｐ明朝" w:hAnsi="Times New Roman" w:cs="Times New Roman" w:hint="eastAsia"/>
          <w:sz w:val="21"/>
          <w:szCs w:val="22"/>
        </w:rPr>
      </w:pPr>
    </w:p>
    <w:p w14:paraId="2D19F8BD" w14:textId="77777777" w:rsidR="00AE417C" w:rsidRDefault="00AE417C" w:rsidP="00AE417C">
      <w:pPr>
        <w:pStyle w:val="3"/>
        <w:spacing w:before="0" w:afterLines="50" w:after="175" w:line="240" w:lineRule="auto"/>
        <w:ind w:left="709"/>
      </w:pPr>
      <w:r>
        <w:t>Funding and i</w:t>
      </w:r>
      <w:r w:rsidRPr="00D12620">
        <w:t>mplementation</w:t>
      </w:r>
    </w:p>
    <w:p w14:paraId="6E32C97D" w14:textId="77777777"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特定された新治療法のいくつかは非常に高額である。これらのコストは、連邦政府および州政府レベルの資金提供者に機会費用を生じさせる。</w:t>
      </w:r>
    </w:p>
    <w:p w14:paraId="2D68C256" w14:textId="77777777" w:rsidR="002B7516" w:rsidRPr="002B7516" w:rsidRDefault="002B7516" w:rsidP="002B7516">
      <w:pPr>
        <w:spacing w:afterLines="50" w:after="175" w:line="240" w:lineRule="auto"/>
        <w:rPr>
          <w:rFonts w:ascii="Times New Roman" w:eastAsia="ＭＳ Ｐ明朝" w:hAnsi="Times New Roman" w:cs="Times New Roman"/>
          <w:sz w:val="21"/>
          <w:szCs w:val="22"/>
        </w:rPr>
      </w:pPr>
      <w:r w:rsidRPr="002B7516">
        <w:rPr>
          <w:rFonts w:ascii="Times New Roman" w:eastAsia="ＭＳ Ｐ明朝" w:hAnsi="Times New Roman" w:cs="Times New Roman"/>
          <w:sz w:val="21"/>
          <w:szCs w:val="22"/>
        </w:rPr>
        <w:t>また、特定された新療法のいくつかは、従来の新療法よりも多くのリソースを投入した実施を必要とする。これらの課題は、長期にわたる安全性と有効性に関する不確実性の増大、およびより深刻な副作用に起因する。その結果、レジストリを通じたデータ収集が必要となり、患者を病院に入院させる、あるいは他の専門的ケア施設に通院させることを求める複雑な管理要件の可能性が高まり、患者一人当たり、あるいは総費用、またはその両方の面で非常に高い費用が発生する可能性がある。</w:t>
      </w:r>
    </w:p>
    <w:p w14:paraId="4F6F614B" w14:textId="0F75FC0E" w:rsidR="00D1041E" w:rsidRPr="00AE417C" w:rsidRDefault="002B7516" w:rsidP="00AE417C">
      <w:pPr>
        <w:spacing w:afterLines="50" w:after="175" w:line="240" w:lineRule="auto"/>
        <w:rPr>
          <w:rFonts w:ascii="Times New Roman" w:eastAsia="ＭＳ Ｐ明朝" w:hAnsi="Times New Roman" w:cs="Times New Roman" w:hint="eastAsia"/>
          <w:sz w:val="21"/>
          <w:szCs w:val="22"/>
        </w:rPr>
      </w:pPr>
      <w:r w:rsidRPr="002B7516">
        <w:rPr>
          <w:rFonts w:ascii="Times New Roman" w:eastAsia="ＭＳ Ｐ明朝" w:hAnsi="Times New Roman" w:cs="Times New Roman"/>
          <w:sz w:val="21"/>
          <w:szCs w:val="22"/>
        </w:rPr>
        <w:t>特定された新薬療法の一部に対する資金提供の決定を履行するための追加措置には、専門施設の設立やデータ収集の体制整備などが含まれる。また、療法の期待される効果に達しない場合、対象人口以外への使用、</w:t>
      </w:r>
      <w:r w:rsidRPr="002B7516">
        <w:rPr>
          <w:rFonts w:ascii="Times New Roman" w:eastAsia="ＭＳ Ｐ明朝" w:hAnsi="Times New Roman" w:cs="Times New Roman"/>
          <w:sz w:val="21"/>
          <w:szCs w:val="22"/>
        </w:rPr>
        <w:t>HTA</w:t>
      </w:r>
      <w:r w:rsidRPr="002B7516">
        <w:rPr>
          <w:rFonts w:ascii="Times New Roman" w:eastAsia="ＭＳ Ｐ明朝" w:hAnsi="Times New Roman" w:cs="Times New Roman"/>
          <w:sz w:val="21"/>
          <w:szCs w:val="22"/>
        </w:rPr>
        <w:t>で予測された患者数よりも多い患者数など、療法の期待される効果に達しないことによるリスクを管理するための、供給者と資金提供者間の契約上の取り決めも含まれる</w:t>
      </w:r>
      <w:r w:rsidR="00AE417C" w:rsidRPr="00DE2140">
        <w:rPr>
          <w:rFonts w:ascii="Times New Roman" w:eastAsia="ＭＳ Ｐ明朝" w:hAnsi="Times New Roman" w:cs="Times New Roman"/>
          <w:vertAlign w:val="superscript"/>
        </w:rPr>
        <w:footnoteReference w:id="5"/>
      </w:r>
      <w:r w:rsidRPr="002B7516">
        <w:rPr>
          <w:rFonts w:ascii="Times New Roman" w:eastAsia="ＭＳ Ｐ明朝" w:hAnsi="Times New Roman" w:cs="Times New Roman"/>
          <w:sz w:val="21"/>
          <w:szCs w:val="22"/>
        </w:rPr>
        <w:t>。</w:t>
      </w:r>
    </w:p>
    <w:sectPr w:rsidR="00D1041E" w:rsidRPr="00AE417C" w:rsidSect="009E578E">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5A67A" w14:textId="77777777" w:rsidR="009F2C93" w:rsidRDefault="009F2C93" w:rsidP="00D1041E">
      <w:pPr>
        <w:spacing w:after="0" w:line="240" w:lineRule="auto"/>
      </w:pPr>
      <w:r>
        <w:separator/>
      </w:r>
    </w:p>
  </w:endnote>
  <w:endnote w:type="continuationSeparator" w:id="0">
    <w:p w14:paraId="0A162725" w14:textId="77777777" w:rsidR="009F2C93" w:rsidRDefault="009F2C93" w:rsidP="00D10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059171"/>
      <w:docPartObj>
        <w:docPartGallery w:val="Page Numbers (Bottom of Page)"/>
        <w:docPartUnique/>
      </w:docPartObj>
    </w:sdtPr>
    <w:sdtEndPr>
      <w:rPr>
        <w:noProof/>
      </w:rPr>
    </w:sdtEndPr>
    <w:sdtContent>
      <w:p w14:paraId="61AB36DC" w14:textId="77777777" w:rsidR="00D1041E" w:rsidRDefault="00D1041E">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006492E8" w14:textId="77777777" w:rsidR="00D1041E" w:rsidRDefault="00D10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589F6" w14:textId="77777777" w:rsidR="009F2C93" w:rsidRDefault="009F2C93" w:rsidP="00D1041E">
      <w:pPr>
        <w:spacing w:after="0" w:line="240" w:lineRule="auto"/>
      </w:pPr>
      <w:r>
        <w:separator/>
      </w:r>
    </w:p>
  </w:footnote>
  <w:footnote w:type="continuationSeparator" w:id="0">
    <w:p w14:paraId="7528FF9B" w14:textId="77777777" w:rsidR="009F2C93" w:rsidRDefault="009F2C93" w:rsidP="00D1041E">
      <w:pPr>
        <w:spacing w:after="0" w:line="240" w:lineRule="auto"/>
      </w:pPr>
      <w:r>
        <w:continuationSeparator/>
      </w:r>
    </w:p>
  </w:footnote>
  <w:footnote w:id="1">
    <w:p w14:paraId="2F2571E2" w14:textId="03FFA9AB" w:rsidR="00DE2140" w:rsidRPr="00DE2140" w:rsidRDefault="00DE2140" w:rsidP="002B7516">
      <w:pPr>
        <w:snapToGrid w:val="0"/>
        <w:spacing w:after="0" w:line="240" w:lineRule="atLeast"/>
        <w:ind w:leftChars="1" w:left="282" w:hangingChars="151" w:hanging="280"/>
        <w:rPr>
          <w:rFonts w:ascii="Times New Roman" w:hAnsi="Times New Roman" w:cs="Times New Roman"/>
          <w:sz w:val="20"/>
          <w:szCs w:val="20"/>
        </w:rPr>
      </w:pPr>
      <w:r w:rsidRPr="00DE2140">
        <w:rPr>
          <w:rFonts w:ascii="Times New Roman" w:hAnsi="Times New Roman" w:cs="Times New Roman"/>
          <w:sz w:val="18"/>
          <w:szCs w:val="18"/>
          <w:vertAlign w:val="superscript"/>
        </w:rPr>
        <w:footnoteRef/>
      </w:r>
      <w:r w:rsidR="002B7516">
        <w:rPr>
          <w:rFonts w:ascii="Times New Roman" w:hAnsi="Times New Roman" w:cs="Times New Roman"/>
          <w:sz w:val="18"/>
          <w:szCs w:val="18"/>
        </w:rPr>
        <w:tab/>
      </w:r>
      <w:r w:rsidRPr="00DE2140">
        <w:rPr>
          <w:rFonts w:ascii="Times New Roman" w:hAnsi="Times New Roman" w:cs="Times New Roman"/>
          <w:sz w:val="18"/>
          <w:szCs w:val="18"/>
        </w:rPr>
        <w:t>Standing Committee on Health, Aged Care and Sport, Inquiry into approval processes for new drugs and novel medical technologies in Australia, Chapter 6, Health Technology Assessment, and the Pharmaceutical Benefits Advisory Committee -  www.aph.gov.au/Parliamentary_Business/Committees/House/Health_Aged_Care_and_Sport/Newdrugs/Report/section?id=committees%2freportrep%2f024755%2f77593.</w:t>
      </w:r>
    </w:p>
  </w:footnote>
  <w:footnote w:id="2">
    <w:p w14:paraId="408D129C" w14:textId="2A8E8F7B" w:rsidR="002B7516" w:rsidRPr="00AE417C" w:rsidRDefault="002B7516" w:rsidP="00AE417C">
      <w:pPr>
        <w:pStyle w:val="ae"/>
        <w:snapToGrid w:val="0"/>
        <w:spacing w:before="0" w:line="240" w:lineRule="atLeast"/>
        <w:ind w:leftChars="-5" w:left="285" w:hangingChars="151" w:hanging="297"/>
        <w:rPr>
          <w:rFonts w:ascii="Times New Roman" w:hAnsi="Times New Roman" w:cs="Times New Roman"/>
          <w:sz w:val="18"/>
          <w:szCs w:val="18"/>
        </w:rPr>
      </w:pPr>
      <w:r w:rsidRPr="00AE417C">
        <w:rPr>
          <w:rStyle w:val="af0"/>
          <w:rFonts w:ascii="Times New Roman" w:hAnsi="Times New Roman" w:cs="Times New Roman"/>
          <w:sz w:val="18"/>
          <w:szCs w:val="18"/>
        </w:rPr>
        <w:footnoteRef/>
      </w:r>
      <w:r w:rsidRPr="00AE417C">
        <w:rPr>
          <w:rFonts w:ascii="Times New Roman" w:hAnsi="Times New Roman" w:cs="Times New Roman"/>
          <w:sz w:val="18"/>
          <w:szCs w:val="18"/>
        </w:rPr>
        <w:t xml:space="preserve"> </w:t>
      </w:r>
      <w:r w:rsidRPr="00AE417C">
        <w:rPr>
          <w:rFonts w:ascii="Times New Roman" w:hAnsi="Times New Roman" w:cs="Times New Roman"/>
          <w:sz w:val="18"/>
          <w:szCs w:val="18"/>
        </w:rPr>
        <w:tab/>
      </w:r>
      <w:r w:rsidRPr="00AE417C">
        <w:rPr>
          <w:rFonts w:ascii="Times New Roman" w:hAnsi="Times New Roman" w:cs="Times New Roman"/>
          <w:sz w:val="18"/>
          <w:szCs w:val="18"/>
        </w:rPr>
        <w:t xml:space="preserve">Standing Committee on Health, Aged Care and Sport, Inquiry into approval processes for new drugs and novel medical technologies in Australia, Chapter 1, Introduction -  </w:t>
      </w:r>
      <w:hyperlink r:id="rId1" w:history="1">
        <w:r w:rsidRPr="00AE417C">
          <w:rPr>
            <w:rStyle w:val="a5"/>
            <w:rFonts w:ascii="Times New Roman" w:hAnsi="Times New Roman" w:cs="Times New Roman"/>
            <w:sz w:val="18"/>
            <w:szCs w:val="18"/>
          </w:rPr>
          <w:t>www.aph.gov.au/Parliamentary_Business/Committees/House/Health_Aged_Care_and_Sport/Newdrugs/Report/section?id=committees%2freportrep%2f024755%2f77593</w:t>
        </w:r>
      </w:hyperlink>
      <w:r w:rsidRPr="00AE417C">
        <w:rPr>
          <w:rFonts w:ascii="Times New Roman" w:hAnsi="Times New Roman" w:cs="Times New Roman"/>
          <w:sz w:val="18"/>
          <w:szCs w:val="18"/>
        </w:rPr>
        <w:t xml:space="preserve">. </w:t>
      </w:r>
    </w:p>
  </w:footnote>
  <w:footnote w:id="3">
    <w:p w14:paraId="15A083B3" w14:textId="0862CB8D" w:rsidR="00AE417C" w:rsidRPr="00AE417C" w:rsidRDefault="00AE417C" w:rsidP="00AE417C">
      <w:pPr>
        <w:snapToGrid w:val="0"/>
        <w:spacing w:after="0" w:line="240" w:lineRule="atLeast"/>
        <w:ind w:leftChars="-5" w:left="285" w:hangingChars="151" w:hanging="297"/>
        <w:rPr>
          <w:rFonts w:ascii="Times New Roman" w:hAnsi="Times New Roman" w:cs="Times New Roman"/>
          <w:sz w:val="18"/>
          <w:szCs w:val="18"/>
        </w:rPr>
      </w:pPr>
      <w:r w:rsidRPr="00AE417C">
        <w:rPr>
          <w:rFonts w:ascii="Times New Roman" w:hAnsi="Times New Roman" w:cs="Times New Roman"/>
          <w:sz w:val="18"/>
          <w:szCs w:val="18"/>
          <w:vertAlign w:val="superscript"/>
        </w:rPr>
        <w:footnoteRef/>
      </w:r>
      <w:r w:rsidRPr="00AE417C">
        <w:rPr>
          <w:rFonts w:ascii="Times New Roman" w:hAnsi="Times New Roman" w:cs="Times New Roman"/>
          <w:sz w:val="18"/>
          <w:szCs w:val="18"/>
        </w:rPr>
        <w:t xml:space="preserve"> </w:t>
      </w:r>
      <w:r>
        <w:rPr>
          <w:rFonts w:ascii="Times New Roman" w:hAnsi="Times New Roman" w:cs="Times New Roman"/>
          <w:sz w:val="18"/>
          <w:szCs w:val="18"/>
        </w:rPr>
        <w:tab/>
      </w:r>
      <w:r w:rsidRPr="00AE417C">
        <w:rPr>
          <w:rFonts w:ascii="Times New Roman" w:hAnsi="Times New Roman" w:cs="Times New Roman"/>
          <w:sz w:val="18"/>
          <w:szCs w:val="18"/>
        </w:rPr>
        <w:t xml:space="preserve">Milou A. </w:t>
      </w:r>
      <w:proofErr w:type="spellStart"/>
      <w:r w:rsidRPr="00AE417C">
        <w:rPr>
          <w:rFonts w:ascii="Times New Roman" w:hAnsi="Times New Roman" w:cs="Times New Roman"/>
          <w:sz w:val="18"/>
          <w:szCs w:val="18"/>
        </w:rPr>
        <w:t>Hogervorst</w:t>
      </w:r>
      <w:proofErr w:type="spellEnd"/>
      <w:r w:rsidRPr="00AE417C">
        <w:rPr>
          <w:rFonts w:ascii="Times New Roman" w:hAnsi="Times New Roman" w:cs="Times New Roman"/>
          <w:sz w:val="18"/>
          <w:szCs w:val="18"/>
        </w:rPr>
        <w:t xml:space="preserve">, Rick A. </w:t>
      </w:r>
      <w:proofErr w:type="spellStart"/>
      <w:r w:rsidRPr="00AE417C">
        <w:rPr>
          <w:rFonts w:ascii="Times New Roman" w:hAnsi="Times New Roman" w:cs="Times New Roman"/>
          <w:sz w:val="18"/>
          <w:szCs w:val="18"/>
        </w:rPr>
        <w:t>Vreman</w:t>
      </w:r>
      <w:proofErr w:type="spellEnd"/>
      <w:r w:rsidRPr="00AE417C">
        <w:rPr>
          <w:rFonts w:ascii="Times New Roman" w:hAnsi="Times New Roman" w:cs="Times New Roman"/>
          <w:sz w:val="18"/>
          <w:szCs w:val="18"/>
        </w:rPr>
        <w:t>, Aukje K. Mantel-</w:t>
      </w:r>
      <w:proofErr w:type="spellStart"/>
      <w:r w:rsidRPr="00AE417C">
        <w:rPr>
          <w:rFonts w:ascii="Times New Roman" w:hAnsi="Times New Roman" w:cs="Times New Roman"/>
          <w:sz w:val="18"/>
          <w:szCs w:val="18"/>
        </w:rPr>
        <w:t>Teeuwisse</w:t>
      </w:r>
      <w:proofErr w:type="spellEnd"/>
      <w:r w:rsidRPr="00AE417C">
        <w:rPr>
          <w:rFonts w:ascii="Times New Roman" w:hAnsi="Times New Roman" w:cs="Times New Roman"/>
          <w:sz w:val="18"/>
          <w:szCs w:val="18"/>
        </w:rPr>
        <w:t xml:space="preserve">, Wim G. Goettsch, Reported Challenges in Health Technology Assessment of Complex Health Technologies - </w:t>
      </w:r>
      <w:hyperlink r:id="rId2" w:history="1">
        <w:r w:rsidRPr="00AE417C">
          <w:rPr>
            <w:rStyle w:val="a5"/>
            <w:rFonts w:ascii="Times New Roman" w:hAnsi="Times New Roman" w:cs="Times New Roman"/>
            <w:sz w:val="18"/>
            <w:szCs w:val="18"/>
          </w:rPr>
          <w:t>www.sciencedirect.com/science/article/pii/S1098301521031879?via%3Dihub</w:t>
        </w:r>
      </w:hyperlink>
      <w:r w:rsidRPr="00AE417C">
        <w:rPr>
          <w:rFonts w:ascii="Times New Roman" w:hAnsi="Times New Roman" w:cs="Times New Roman"/>
          <w:sz w:val="18"/>
          <w:szCs w:val="18"/>
        </w:rPr>
        <w:t xml:space="preserve">. </w:t>
      </w:r>
    </w:p>
  </w:footnote>
  <w:footnote w:id="4">
    <w:p w14:paraId="7A4ED761" w14:textId="5127A65B" w:rsidR="00AE417C" w:rsidRPr="00805149" w:rsidRDefault="00AE417C" w:rsidP="00AE417C">
      <w:pPr>
        <w:snapToGrid w:val="0"/>
        <w:spacing w:after="0" w:line="240" w:lineRule="atLeast"/>
        <w:ind w:leftChars="-5" w:left="285" w:hangingChars="151" w:hanging="297"/>
        <w:rPr>
          <w:sz w:val="20"/>
          <w:szCs w:val="20"/>
        </w:rPr>
      </w:pPr>
      <w:r w:rsidRPr="00AE417C">
        <w:rPr>
          <w:rFonts w:ascii="Times New Roman" w:hAnsi="Times New Roman" w:cs="Times New Roman"/>
          <w:sz w:val="18"/>
          <w:szCs w:val="18"/>
          <w:vertAlign w:val="superscript"/>
        </w:rPr>
        <w:footnoteRef/>
      </w:r>
      <w:r w:rsidRPr="00AE417C">
        <w:rPr>
          <w:rFonts w:ascii="Times New Roman" w:hAnsi="Times New Roman" w:cs="Times New Roman"/>
          <w:sz w:val="18"/>
          <w:szCs w:val="18"/>
        </w:rPr>
        <w:t xml:space="preserve"> </w:t>
      </w:r>
      <w:r>
        <w:rPr>
          <w:rFonts w:ascii="Times New Roman" w:hAnsi="Times New Roman" w:cs="Times New Roman"/>
          <w:sz w:val="18"/>
          <w:szCs w:val="18"/>
        </w:rPr>
        <w:tab/>
      </w:r>
      <w:r w:rsidRPr="00AE417C">
        <w:rPr>
          <w:rFonts w:ascii="Times New Roman" w:hAnsi="Times New Roman" w:cs="Times New Roman"/>
          <w:sz w:val="18"/>
          <w:szCs w:val="18"/>
        </w:rPr>
        <w:t xml:space="preserve">Trapani D, Tay-Teo K, Tesch ME, </w:t>
      </w:r>
      <w:proofErr w:type="spellStart"/>
      <w:r w:rsidRPr="00AE417C">
        <w:rPr>
          <w:rFonts w:ascii="Times New Roman" w:hAnsi="Times New Roman" w:cs="Times New Roman"/>
          <w:sz w:val="18"/>
          <w:szCs w:val="18"/>
        </w:rPr>
        <w:t>Roitberg</w:t>
      </w:r>
      <w:proofErr w:type="spellEnd"/>
      <w:r w:rsidRPr="00AE417C">
        <w:rPr>
          <w:rFonts w:ascii="Times New Roman" w:hAnsi="Times New Roman" w:cs="Times New Roman"/>
          <w:sz w:val="18"/>
          <w:szCs w:val="18"/>
        </w:rPr>
        <w:t xml:space="preserve"> F, </w:t>
      </w:r>
      <w:proofErr w:type="spellStart"/>
      <w:r w:rsidRPr="00AE417C">
        <w:rPr>
          <w:rFonts w:ascii="Times New Roman" w:hAnsi="Times New Roman" w:cs="Times New Roman"/>
          <w:sz w:val="18"/>
          <w:szCs w:val="18"/>
        </w:rPr>
        <w:t>Sengar</w:t>
      </w:r>
      <w:proofErr w:type="spellEnd"/>
      <w:r w:rsidRPr="00AE417C">
        <w:rPr>
          <w:rFonts w:ascii="Times New Roman" w:hAnsi="Times New Roman" w:cs="Times New Roman"/>
          <w:sz w:val="18"/>
          <w:szCs w:val="18"/>
        </w:rPr>
        <w:t xml:space="preserve"> M, Altuna SC, Hassett MJ, </w:t>
      </w:r>
      <w:proofErr w:type="spellStart"/>
      <w:r w:rsidRPr="00AE417C">
        <w:rPr>
          <w:rFonts w:ascii="Times New Roman" w:hAnsi="Times New Roman" w:cs="Times New Roman"/>
          <w:sz w:val="18"/>
          <w:szCs w:val="18"/>
        </w:rPr>
        <w:t>Genazzani</w:t>
      </w:r>
      <w:proofErr w:type="spellEnd"/>
      <w:r w:rsidRPr="00AE417C">
        <w:rPr>
          <w:rFonts w:ascii="Times New Roman" w:hAnsi="Times New Roman" w:cs="Times New Roman"/>
          <w:sz w:val="18"/>
          <w:szCs w:val="18"/>
        </w:rPr>
        <w:t xml:space="preserve"> AA, Kesselheim AS, </w:t>
      </w:r>
      <w:proofErr w:type="spellStart"/>
      <w:r w:rsidRPr="00AE417C">
        <w:rPr>
          <w:rFonts w:ascii="Times New Roman" w:hAnsi="Times New Roman" w:cs="Times New Roman"/>
          <w:sz w:val="18"/>
          <w:szCs w:val="18"/>
        </w:rPr>
        <w:t>Curigliano</w:t>
      </w:r>
      <w:proofErr w:type="spellEnd"/>
      <w:r w:rsidRPr="00AE417C">
        <w:rPr>
          <w:rFonts w:ascii="Times New Roman" w:hAnsi="Times New Roman" w:cs="Times New Roman"/>
          <w:sz w:val="18"/>
          <w:szCs w:val="18"/>
        </w:rPr>
        <w:t xml:space="preserve"> G. Implications of Oncology Trial Design and Uncertainties in Efficacy-Safety Data on Health Technology Assessments. </w:t>
      </w:r>
      <w:r w:rsidRPr="00AE417C">
        <w:rPr>
          <w:rFonts w:ascii="Times New Roman" w:hAnsi="Times New Roman" w:cs="Times New Roman"/>
          <w:i/>
          <w:iCs/>
          <w:sz w:val="18"/>
          <w:szCs w:val="18"/>
        </w:rPr>
        <w:t>Curr Oncol</w:t>
      </w:r>
      <w:r w:rsidRPr="00AE417C">
        <w:rPr>
          <w:rFonts w:ascii="Times New Roman" w:hAnsi="Times New Roman" w:cs="Times New Roman"/>
          <w:sz w:val="18"/>
          <w:szCs w:val="18"/>
        </w:rPr>
        <w:t xml:space="preserve">. 2022 Aug 16;29(8):5774-5791 - </w:t>
      </w:r>
      <w:hyperlink r:id="rId3" w:history="1">
        <w:r w:rsidRPr="00AE417C">
          <w:rPr>
            <w:rStyle w:val="a5"/>
            <w:rFonts w:ascii="Times New Roman" w:hAnsi="Times New Roman" w:cs="Times New Roman"/>
            <w:sz w:val="18"/>
            <w:szCs w:val="18"/>
          </w:rPr>
          <w:t>https://pubmed.ncbi.nlm.nih.gov/36005193/</w:t>
        </w:r>
      </w:hyperlink>
      <w:r w:rsidRPr="00AE417C">
        <w:rPr>
          <w:rFonts w:ascii="Times New Roman" w:hAnsi="Times New Roman" w:cs="Times New Roman"/>
          <w:sz w:val="18"/>
          <w:szCs w:val="18"/>
        </w:rPr>
        <w:t>.</w:t>
      </w:r>
    </w:p>
  </w:footnote>
  <w:footnote w:id="5">
    <w:p w14:paraId="2186548C" w14:textId="1EF58373" w:rsidR="00AE417C" w:rsidRPr="00AE417C" w:rsidRDefault="00AE417C" w:rsidP="00AE417C">
      <w:pPr>
        <w:snapToGrid w:val="0"/>
        <w:spacing w:after="0" w:line="240" w:lineRule="auto"/>
        <w:ind w:leftChars="1" w:left="283" w:hangingChars="143" w:hanging="281"/>
        <w:rPr>
          <w:rFonts w:ascii="Times New Roman" w:hAnsi="Times New Roman" w:cs="Times New Roman"/>
          <w:sz w:val="18"/>
          <w:szCs w:val="18"/>
        </w:rPr>
      </w:pPr>
      <w:r w:rsidRPr="00AE417C">
        <w:rPr>
          <w:rFonts w:ascii="Times New Roman" w:hAnsi="Times New Roman" w:cs="Times New Roman"/>
          <w:sz w:val="18"/>
          <w:szCs w:val="18"/>
          <w:vertAlign w:val="superscript"/>
        </w:rPr>
        <w:footnoteRef/>
      </w:r>
      <w:r w:rsidRPr="00AE417C">
        <w:rPr>
          <w:rFonts w:ascii="Times New Roman" w:hAnsi="Times New Roman" w:cs="Times New Roman"/>
          <w:sz w:val="18"/>
          <w:szCs w:val="18"/>
        </w:rPr>
        <w:t xml:space="preserve"> </w:t>
      </w:r>
      <w:r>
        <w:rPr>
          <w:rFonts w:ascii="Times New Roman" w:hAnsi="Times New Roman" w:cs="Times New Roman"/>
          <w:sz w:val="18"/>
          <w:szCs w:val="18"/>
        </w:rPr>
        <w:tab/>
      </w:r>
      <w:r w:rsidRPr="00AE417C">
        <w:rPr>
          <w:rFonts w:ascii="Times New Roman" w:hAnsi="Times New Roman" w:cs="Times New Roman"/>
          <w:sz w:val="18"/>
          <w:szCs w:val="18"/>
        </w:rPr>
        <w:t xml:space="preserve">PBAC Public Summary, September 2021, </w:t>
      </w:r>
      <w:proofErr w:type="spellStart"/>
      <w:r w:rsidRPr="00AE417C">
        <w:rPr>
          <w:rFonts w:ascii="Times New Roman" w:hAnsi="Times New Roman" w:cs="Times New Roman"/>
          <w:sz w:val="18"/>
          <w:szCs w:val="18"/>
        </w:rPr>
        <w:t>Onasemnogene</w:t>
      </w:r>
      <w:proofErr w:type="spellEnd"/>
      <w:r w:rsidRPr="00AE417C">
        <w:rPr>
          <w:rFonts w:ascii="Times New Roman" w:hAnsi="Times New Roman" w:cs="Times New Roman"/>
          <w:sz w:val="18"/>
          <w:szCs w:val="18"/>
        </w:rPr>
        <w:t xml:space="preserve"> </w:t>
      </w:r>
      <w:proofErr w:type="spellStart"/>
      <w:r w:rsidRPr="00AE417C">
        <w:rPr>
          <w:rFonts w:ascii="Times New Roman" w:hAnsi="Times New Roman" w:cs="Times New Roman"/>
          <w:sz w:val="18"/>
          <w:szCs w:val="18"/>
        </w:rPr>
        <w:t>Abeparvovec</w:t>
      </w:r>
      <w:proofErr w:type="spellEnd"/>
      <w:r w:rsidRPr="00AE417C">
        <w:rPr>
          <w:rFonts w:ascii="Times New Roman" w:hAnsi="Times New Roman" w:cs="Times New Roman"/>
          <w:sz w:val="18"/>
          <w:szCs w:val="18"/>
        </w:rPr>
        <w:t xml:space="preserve"> (</w:t>
      </w:r>
      <w:proofErr w:type="spellStart"/>
      <w:r w:rsidRPr="00AE417C">
        <w:rPr>
          <w:rFonts w:ascii="Times New Roman" w:hAnsi="Times New Roman" w:cs="Times New Roman"/>
          <w:sz w:val="18"/>
          <w:szCs w:val="18"/>
        </w:rPr>
        <w:t>Zolgensma</w:t>
      </w:r>
      <w:proofErr w:type="spellEnd"/>
      <w:r w:rsidRPr="00AE417C">
        <w:rPr>
          <w:rFonts w:ascii="Times New Roman" w:hAnsi="Times New Roman" w:cs="Times New Roman"/>
          <w:sz w:val="18"/>
          <w:szCs w:val="18"/>
        </w:rPr>
        <w:t xml:space="preserve">) - </w:t>
      </w:r>
      <w:hyperlink r:id="rId4" w:history="1">
        <w:r w:rsidRPr="00AE417C">
          <w:rPr>
            <w:rStyle w:val="a5"/>
            <w:rFonts w:ascii="Times New Roman" w:hAnsi="Times New Roman" w:cs="Times New Roman"/>
            <w:sz w:val="18"/>
            <w:szCs w:val="18"/>
          </w:rPr>
          <w:t>www.pbs.gov.au/info/industry/listing/elements/pbac-meetings/psd/2021-09/onasemnogene-abeparvovec-solution-for-injection-customise</w:t>
        </w:r>
      </w:hyperlink>
      <w:r w:rsidRPr="00AE417C">
        <w:rPr>
          <w:rFonts w:ascii="Times New Roman" w:hAnsi="Times New Roman" w:cs="Times New Roman"/>
          <w:sz w:val="18"/>
          <w:szCs w:val="18"/>
        </w:rPr>
        <w:t>;</w:t>
      </w:r>
    </w:p>
    <w:p w14:paraId="39663868" w14:textId="4BC09B62" w:rsidR="00AE417C" w:rsidRPr="00AE417C" w:rsidRDefault="00AE417C" w:rsidP="00AE417C">
      <w:pPr>
        <w:snapToGrid w:val="0"/>
        <w:spacing w:after="0" w:line="240" w:lineRule="auto"/>
        <w:ind w:leftChars="1" w:left="283" w:hangingChars="143" w:hanging="281"/>
        <w:rPr>
          <w:rFonts w:ascii="Times New Roman" w:hAnsi="Times New Roman" w:cs="Times New Roman"/>
          <w:sz w:val="18"/>
          <w:szCs w:val="18"/>
        </w:rPr>
      </w:pPr>
      <w:r>
        <w:rPr>
          <w:rFonts w:ascii="Times New Roman" w:hAnsi="Times New Roman" w:cs="Times New Roman"/>
          <w:sz w:val="18"/>
          <w:szCs w:val="18"/>
        </w:rPr>
        <w:tab/>
      </w:r>
      <w:r w:rsidRPr="00AE417C">
        <w:rPr>
          <w:rFonts w:ascii="Times New Roman" w:hAnsi="Times New Roman" w:cs="Times New Roman"/>
          <w:sz w:val="18"/>
          <w:szCs w:val="18"/>
        </w:rPr>
        <w:t xml:space="preserve">MSAC Public Summary, August and November 2019, </w:t>
      </w:r>
      <w:proofErr w:type="spellStart"/>
      <w:r w:rsidRPr="00AE417C">
        <w:rPr>
          <w:rFonts w:ascii="Times New Roman" w:hAnsi="Times New Roman" w:cs="Times New Roman"/>
          <w:sz w:val="18"/>
          <w:szCs w:val="18"/>
        </w:rPr>
        <w:t>Tisagenlecleucel</w:t>
      </w:r>
      <w:proofErr w:type="spellEnd"/>
      <w:r w:rsidRPr="00AE417C">
        <w:rPr>
          <w:rFonts w:ascii="Times New Roman" w:hAnsi="Times New Roman" w:cs="Times New Roman"/>
          <w:sz w:val="18"/>
          <w:szCs w:val="18"/>
        </w:rPr>
        <w:t xml:space="preserve"> (CTL019) for treatment of relapsed or refractory diffuse large B-cell lymphoma (DLBCL) (Kymriah) - </w:t>
      </w:r>
      <w:hyperlink r:id="rId5" w:history="1">
        <w:r w:rsidRPr="00AE417C">
          <w:rPr>
            <w:rStyle w:val="a5"/>
            <w:rFonts w:ascii="Times New Roman" w:hAnsi="Times New Roman" w:cs="Times New Roman"/>
            <w:sz w:val="18"/>
            <w:szCs w:val="18"/>
          </w:rPr>
          <w:t>www.msac.gov.au/internet/msac/publishing.nsf/Content/1519.1-public</w:t>
        </w:r>
      </w:hyperlink>
    </w:p>
    <w:p w14:paraId="218EB471" w14:textId="3715D8D1" w:rsidR="00AE417C" w:rsidRPr="00AE417C" w:rsidRDefault="00AE417C" w:rsidP="00AE417C">
      <w:pPr>
        <w:snapToGrid w:val="0"/>
        <w:spacing w:after="0" w:line="240" w:lineRule="auto"/>
        <w:ind w:leftChars="1" w:left="283" w:hangingChars="143" w:hanging="281"/>
        <w:rPr>
          <w:rFonts w:ascii="Times New Roman" w:hAnsi="Times New Roman" w:cs="Times New Roman"/>
          <w:sz w:val="18"/>
          <w:szCs w:val="18"/>
        </w:rPr>
      </w:pPr>
      <w:r>
        <w:rPr>
          <w:rFonts w:ascii="Times New Roman" w:hAnsi="Times New Roman" w:cs="Times New Roman"/>
          <w:sz w:val="18"/>
          <w:szCs w:val="18"/>
        </w:rPr>
        <w:tab/>
      </w:r>
      <w:r w:rsidRPr="00AE417C">
        <w:rPr>
          <w:rFonts w:ascii="Times New Roman" w:hAnsi="Times New Roman" w:cs="Times New Roman"/>
          <w:sz w:val="18"/>
          <w:szCs w:val="18"/>
        </w:rPr>
        <w:t>MSAC Public Summary, July and November 2020, Luxturna (</w:t>
      </w:r>
      <w:proofErr w:type="spellStart"/>
      <w:r w:rsidRPr="00AE417C">
        <w:rPr>
          <w:rFonts w:ascii="Times New Roman" w:hAnsi="Times New Roman" w:cs="Times New Roman"/>
          <w:sz w:val="18"/>
          <w:szCs w:val="18"/>
        </w:rPr>
        <w:t>voretigene</w:t>
      </w:r>
      <w:proofErr w:type="spellEnd"/>
      <w:r w:rsidRPr="00AE417C">
        <w:rPr>
          <w:rFonts w:ascii="Times New Roman" w:hAnsi="Times New Roman" w:cs="Times New Roman"/>
          <w:sz w:val="18"/>
          <w:szCs w:val="18"/>
        </w:rPr>
        <w:t xml:space="preserve"> </w:t>
      </w:r>
      <w:proofErr w:type="spellStart"/>
      <w:r w:rsidRPr="00AE417C">
        <w:rPr>
          <w:rFonts w:ascii="Times New Roman" w:hAnsi="Times New Roman" w:cs="Times New Roman"/>
          <w:sz w:val="18"/>
          <w:szCs w:val="18"/>
        </w:rPr>
        <w:t>neparvovec</w:t>
      </w:r>
      <w:proofErr w:type="spellEnd"/>
      <w:r w:rsidRPr="00AE417C">
        <w:rPr>
          <w:rFonts w:ascii="Times New Roman" w:hAnsi="Times New Roman" w:cs="Times New Roman"/>
          <w:sz w:val="18"/>
          <w:szCs w:val="18"/>
        </w:rPr>
        <w:t xml:space="preserve">) for the treatment of biallelic RPE-65-mediated Inherited Retinal Dystrophies - </w:t>
      </w:r>
      <w:hyperlink r:id="rId6" w:history="1">
        <w:r w:rsidRPr="00AE417C">
          <w:rPr>
            <w:rStyle w:val="a5"/>
            <w:rFonts w:ascii="Times New Roman" w:hAnsi="Times New Roman" w:cs="Times New Roman"/>
            <w:sz w:val="18"/>
            <w:szCs w:val="18"/>
          </w:rPr>
          <w:t>www.msac.gov.au/internet/msac/publishing.nsf/Content/1623-public</w:t>
        </w:r>
      </w:hyperlink>
      <w:r w:rsidRPr="00AE417C">
        <w:rPr>
          <w:rFonts w:ascii="Times New Roman" w:hAnsi="Times New Roman" w:cs="Times New Roman"/>
          <w:sz w:val="18"/>
          <w:szCs w:val="18"/>
        </w:rPr>
        <w:t xml:space="preserve">. </w:t>
      </w:r>
    </w:p>
    <w:p w14:paraId="7AAD118A" w14:textId="77777777" w:rsidR="00AE417C" w:rsidRDefault="00AE417C" w:rsidP="00AE41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4816F728"/>
    <w:lvl w:ilvl="0">
      <w:start w:val="1"/>
      <w:numFmt w:val="decimal"/>
      <w:pStyle w:val="a"/>
      <w:lvlText w:val="%1."/>
      <w:lvlJc w:val="left"/>
      <w:pPr>
        <w:tabs>
          <w:tab w:val="num" w:pos="360"/>
        </w:tabs>
        <w:ind w:left="360" w:hangingChars="200" w:hanging="360"/>
      </w:pPr>
    </w:lvl>
  </w:abstractNum>
  <w:abstractNum w:abstractNumId="1" w15:restartNumberingAfterBreak="0">
    <w:nsid w:val="FFFFFF89"/>
    <w:multiLevelType w:val="singleLevel"/>
    <w:tmpl w:val="8330322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6D01807"/>
    <w:multiLevelType w:val="hybridMultilevel"/>
    <w:tmpl w:val="6C4E6774"/>
    <w:lvl w:ilvl="0" w:tplc="4EC07DC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0AC31409"/>
    <w:multiLevelType w:val="hybridMultilevel"/>
    <w:tmpl w:val="A6D60050"/>
    <w:lvl w:ilvl="0" w:tplc="9B3CE1D8">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19AD347A"/>
    <w:multiLevelType w:val="hybridMultilevel"/>
    <w:tmpl w:val="A5343D84"/>
    <w:lvl w:ilvl="0" w:tplc="DCA2BC06">
      <w:start w:val="2"/>
      <w:numFmt w:val="bullet"/>
      <w:lvlText w:val="·"/>
      <w:lvlJc w:val="left"/>
      <w:pPr>
        <w:ind w:left="360" w:hanging="360"/>
      </w:pPr>
      <w:rPr>
        <w:rFonts w:ascii="Times New Roman" w:eastAsia="ＭＳ Ｐ明朝"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480FAF"/>
    <w:multiLevelType w:val="hybridMultilevel"/>
    <w:tmpl w:val="D1A41130"/>
    <w:lvl w:ilvl="0" w:tplc="96023DF6">
      <w:start w:val="1"/>
      <w:numFmt w:val="decimal"/>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1915B1"/>
    <w:multiLevelType w:val="hybridMultilevel"/>
    <w:tmpl w:val="521695FA"/>
    <w:lvl w:ilvl="0" w:tplc="96023DF6">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BB20948"/>
    <w:multiLevelType w:val="multilevel"/>
    <w:tmpl w:val="AF780736"/>
    <w:lvl w:ilvl="0">
      <w:start w:val="1"/>
      <w:numFmt w:val="decimal"/>
      <w:pStyle w:val="1"/>
      <w:lvlText w:val="%1"/>
      <w:lvlJc w:val="left"/>
      <w:pPr>
        <w:ind w:left="2416" w:hanging="432"/>
      </w:pPr>
      <w:rPr>
        <w:rFonts w:hint="default"/>
      </w:rPr>
    </w:lvl>
    <w:lvl w:ilvl="1">
      <w:start w:val="1"/>
      <w:numFmt w:val="decimal"/>
      <w:pStyle w:val="2"/>
      <w:lvlText w:val="%1.%2"/>
      <w:lvlJc w:val="left"/>
      <w:pPr>
        <w:ind w:left="2136" w:hanging="576"/>
      </w:pPr>
      <w:rPr>
        <w:rFonts w:hint="default"/>
        <w:b w:val="0"/>
        <w:bCs w:val="0"/>
        <w:vertAlign w:val="baseline"/>
      </w:rPr>
    </w:lvl>
    <w:lvl w:ilvl="2">
      <w:start w:val="1"/>
      <w:numFmt w:val="decimal"/>
      <w:pStyle w:val="3"/>
      <w:lvlText w:val="%1.%2.%3"/>
      <w:lvlJc w:val="left"/>
      <w:pPr>
        <w:ind w:left="2704" w:hanging="720"/>
      </w:pPr>
      <w:rPr>
        <w:rFonts w:hint="default"/>
        <w:vertAlign w:val="baseline"/>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8" w15:restartNumberingAfterBreak="0">
    <w:nsid w:val="61D149E7"/>
    <w:multiLevelType w:val="hybridMultilevel"/>
    <w:tmpl w:val="8E4EA9AA"/>
    <w:lvl w:ilvl="0" w:tplc="50A4082E">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932F7D"/>
    <w:multiLevelType w:val="hybridMultilevel"/>
    <w:tmpl w:val="1F78A7F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081648">
    <w:abstractNumId w:val="7"/>
  </w:num>
  <w:num w:numId="2" w16cid:durableId="1593591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97323">
    <w:abstractNumId w:val="8"/>
  </w:num>
  <w:num w:numId="4" w16cid:durableId="533151781">
    <w:abstractNumId w:val="1"/>
  </w:num>
  <w:num w:numId="5" w16cid:durableId="651446570">
    <w:abstractNumId w:val="0"/>
  </w:num>
  <w:num w:numId="6" w16cid:durableId="1433239405">
    <w:abstractNumId w:val="0"/>
    <w:lvlOverride w:ilvl="0">
      <w:startOverride w:val="1"/>
    </w:lvlOverride>
  </w:num>
  <w:num w:numId="7" w16cid:durableId="2088184963">
    <w:abstractNumId w:val="9"/>
  </w:num>
  <w:num w:numId="8" w16cid:durableId="944532335">
    <w:abstractNumId w:val="6"/>
  </w:num>
  <w:num w:numId="9" w16cid:durableId="17437620">
    <w:abstractNumId w:val="5"/>
  </w:num>
  <w:num w:numId="10" w16cid:durableId="978649792">
    <w:abstractNumId w:val="2"/>
  </w:num>
  <w:num w:numId="11" w16cid:durableId="1789162470">
    <w:abstractNumId w:val="3"/>
  </w:num>
  <w:num w:numId="12" w16cid:durableId="174346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13"/>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1E"/>
    <w:rsid w:val="00126EBE"/>
    <w:rsid w:val="002B7516"/>
    <w:rsid w:val="00304F66"/>
    <w:rsid w:val="00530F3B"/>
    <w:rsid w:val="005D28FD"/>
    <w:rsid w:val="006B1081"/>
    <w:rsid w:val="007B07FE"/>
    <w:rsid w:val="009E578E"/>
    <w:rsid w:val="009F2C93"/>
    <w:rsid w:val="00AE417C"/>
    <w:rsid w:val="00AF40A2"/>
    <w:rsid w:val="00D1041E"/>
    <w:rsid w:val="00DE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E53CF9"/>
  <w15:chartTrackingRefBased/>
  <w15:docId w15:val="{25ABE315-A26F-4243-AE3C-B6BDFF39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D1041E"/>
    <w:pPr>
      <w:keepNext/>
      <w:keepLines/>
      <w:widowControl/>
      <w:numPr>
        <w:numId w:val="1"/>
      </w:numPr>
      <w:spacing w:before="240" w:after="0"/>
      <w:outlineLvl w:val="0"/>
    </w:pPr>
    <w:rPr>
      <w:rFonts w:asciiTheme="majorHAnsi" w:eastAsiaTheme="majorEastAsia" w:hAnsiTheme="majorHAnsi" w:cstheme="majorBidi"/>
      <w:kern w:val="0"/>
      <w:sz w:val="52"/>
      <w:szCs w:val="32"/>
      <w:lang w:val="en-GB" w:eastAsia="en-US"/>
      <w14:ligatures w14:val="none"/>
    </w:rPr>
  </w:style>
  <w:style w:type="paragraph" w:styleId="2">
    <w:name w:val="heading 2"/>
    <w:basedOn w:val="a1"/>
    <w:next w:val="a1"/>
    <w:link w:val="20"/>
    <w:uiPriority w:val="9"/>
    <w:unhideWhenUsed/>
    <w:qFormat/>
    <w:rsid w:val="00D1041E"/>
    <w:pPr>
      <w:keepNext/>
      <w:keepLines/>
      <w:widowControl/>
      <w:numPr>
        <w:ilvl w:val="1"/>
        <w:numId w:val="1"/>
      </w:numPr>
      <w:spacing w:before="120" w:after="0"/>
      <w:outlineLvl w:val="1"/>
    </w:pPr>
    <w:rPr>
      <w:rFonts w:asciiTheme="majorHAnsi" w:eastAsiaTheme="majorEastAsia" w:hAnsiTheme="majorHAnsi" w:cstheme="majorBidi"/>
      <w:color w:val="008A96"/>
      <w:kern w:val="0"/>
      <w:sz w:val="32"/>
      <w:szCs w:val="26"/>
      <w:lang w:val="en-GB" w:eastAsia="en-US"/>
      <w14:ligatures w14:val="none"/>
    </w:rPr>
  </w:style>
  <w:style w:type="paragraph" w:styleId="3">
    <w:name w:val="heading 3"/>
    <w:basedOn w:val="a1"/>
    <w:next w:val="a1"/>
    <w:link w:val="30"/>
    <w:uiPriority w:val="9"/>
    <w:unhideWhenUsed/>
    <w:qFormat/>
    <w:rsid w:val="00D1041E"/>
    <w:pPr>
      <w:keepNext/>
      <w:keepLines/>
      <w:widowControl/>
      <w:numPr>
        <w:ilvl w:val="2"/>
        <w:numId w:val="1"/>
      </w:numPr>
      <w:spacing w:before="120" w:after="0"/>
      <w:outlineLvl w:val="2"/>
    </w:pPr>
    <w:rPr>
      <w:rFonts w:asciiTheme="majorHAnsi" w:eastAsiaTheme="majorEastAsia" w:hAnsiTheme="majorHAnsi" w:cstheme="majorBidi"/>
      <w:color w:val="0A2F40" w:themeColor="accent1" w:themeShade="7F"/>
      <w:kern w:val="0"/>
      <w:sz w:val="24"/>
      <w:lang w:val="en-GB" w:eastAsia="en-US"/>
      <w14:ligatures w14:val="none"/>
    </w:rPr>
  </w:style>
  <w:style w:type="paragraph" w:styleId="5">
    <w:name w:val="heading 5"/>
    <w:basedOn w:val="a1"/>
    <w:next w:val="a1"/>
    <w:link w:val="50"/>
    <w:uiPriority w:val="9"/>
    <w:unhideWhenUsed/>
    <w:qFormat/>
    <w:rsid w:val="00D1041E"/>
    <w:pPr>
      <w:keepNext/>
      <w:keepLines/>
      <w:widowControl/>
      <w:numPr>
        <w:ilvl w:val="4"/>
        <w:numId w:val="1"/>
      </w:numPr>
      <w:spacing w:before="40" w:after="0"/>
      <w:outlineLvl w:val="4"/>
    </w:pPr>
    <w:rPr>
      <w:rFonts w:asciiTheme="majorHAnsi" w:eastAsiaTheme="majorEastAsia" w:hAnsiTheme="majorHAnsi" w:cstheme="majorBidi"/>
      <w:color w:val="0F4761" w:themeColor="accent1" w:themeShade="BF"/>
      <w:kern w:val="0"/>
      <w:szCs w:val="22"/>
      <w:lang w:val="en-GB" w:eastAsia="en-US"/>
      <w14:ligatures w14:val="none"/>
    </w:rPr>
  </w:style>
  <w:style w:type="paragraph" w:styleId="6">
    <w:name w:val="heading 6"/>
    <w:basedOn w:val="a1"/>
    <w:next w:val="a1"/>
    <w:link w:val="60"/>
    <w:uiPriority w:val="9"/>
    <w:unhideWhenUsed/>
    <w:qFormat/>
    <w:rsid w:val="00D1041E"/>
    <w:pPr>
      <w:keepNext/>
      <w:keepLines/>
      <w:widowControl/>
      <w:numPr>
        <w:ilvl w:val="5"/>
        <w:numId w:val="1"/>
      </w:numPr>
      <w:spacing w:before="40" w:after="0"/>
      <w:outlineLvl w:val="5"/>
    </w:pPr>
    <w:rPr>
      <w:rFonts w:asciiTheme="majorHAnsi" w:eastAsiaTheme="majorEastAsia" w:hAnsiTheme="majorHAnsi" w:cstheme="majorBidi"/>
      <w:color w:val="0A2F40" w:themeColor="accent1" w:themeShade="7F"/>
      <w:kern w:val="0"/>
      <w:szCs w:val="22"/>
      <w:lang w:val="en-GB" w:eastAsia="en-US"/>
      <w14:ligatures w14:val="none"/>
    </w:rPr>
  </w:style>
  <w:style w:type="paragraph" w:styleId="7">
    <w:name w:val="heading 7"/>
    <w:basedOn w:val="a1"/>
    <w:next w:val="a1"/>
    <w:link w:val="70"/>
    <w:uiPriority w:val="9"/>
    <w:semiHidden/>
    <w:unhideWhenUsed/>
    <w:qFormat/>
    <w:rsid w:val="00D1041E"/>
    <w:pPr>
      <w:keepNext/>
      <w:keepLines/>
      <w:widowControl/>
      <w:numPr>
        <w:ilvl w:val="6"/>
        <w:numId w:val="1"/>
      </w:numPr>
      <w:spacing w:before="40" w:after="0"/>
      <w:outlineLvl w:val="6"/>
    </w:pPr>
    <w:rPr>
      <w:rFonts w:asciiTheme="majorHAnsi" w:eastAsiaTheme="majorEastAsia" w:hAnsiTheme="majorHAnsi" w:cstheme="majorBidi"/>
      <w:i/>
      <w:iCs/>
      <w:color w:val="0A2F40" w:themeColor="accent1" w:themeShade="7F"/>
      <w:kern w:val="0"/>
      <w:szCs w:val="22"/>
      <w:lang w:val="en-GB" w:eastAsia="en-US"/>
      <w14:ligatures w14:val="none"/>
    </w:rPr>
  </w:style>
  <w:style w:type="paragraph" w:styleId="8">
    <w:name w:val="heading 8"/>
    <w:basedOn w:val="a1"/>
    <w:next w:val="a1"/>
    <w:link w:val="80"/>
    <w:uiPriority w:val="9"/>
    <w:semiHidden/>
    <w:unhideWhenUsed/>
    <w:qFormat/>
    <w:rsid w:val="00D1041E"/>
    <w:pPr>
      <w:keepNext/>
      <w:keepLines/>
      <w:widowControl/>
      <w:numPr>
        <w:ilvl w:val="7"/>
        <w:numId w:val="1"/>
      </w:numPr>
      <w:spacing w:before="40" w:after="0"/>
      <w:outlineLvl w:val="7"/>
    </w:pPr>
    <w:rPr>
      <w:rFonts w:asciiTheme="majorHAnsi" w:eastAsiaTheme="majorEastAsia" w:hAnsiTheme="majorHAnsi" w:cstheme="majorBidi"/>
      <w:color w:val="272727" w:themeColor="text1" w:themeTint="D8"/>
      <w:kern w:val="0"/>
      <w:sz w:val="21"/>
      <w:szCs w:val="21"/>
      <w:lang w:val="en-GB" w:eastAsia="en-US"/>
      <w14:ligatures w14:val="none"/>
    </w:rPr>
  </w:style>
  <w:style w:type="paragraph" w:styleId="9">
    <w:name w:val="heading 9"/>
    <w:basedOn w:val="a1"/>
    <w:next w:val="a1"/>
    <w:link w:val="90"/>
    <w:uiPriority w:val="9"/>
    <w:semiHidden/>
    <w:unhideWhenUsed/>
    <w:qFormat/>
    <w:rsid w:val="00D1041E"/>
    <w:pPr>
      <w:keepNext/>
      <w:keepLines/>
      <w:widowControl/>
      <w:numPr>
        <w:ilvl w:val="8"/>
        <w:numId w:val="1"/>
      </w:numPr>
      <w:spacing w:before="40" w:after="0"/>
      <w:outlineLvl w:val="8"/>
    </w:pPr>
    <w:rPr>
      <w:rFonts w:asciiTheme="majorHAnsi" w:eastAsiaTheme="majorEastAsia" w:hAnsiTheme="majorHAnsi" w:cstheme="majorBidi"/>
      <w:i/>
      <w:iCs/>
      <w:color w:val="272727" w:themeColor="text1" w:themeTint="D8"/>
      <w:kern w:val="0"/>
      <w:sz w:val="21"/>
      <w:szCs w:val="21"/>
      <w:lang w:val="en-GB" w:eastAsia="en-US"/>
      <w14:ligatures w14:val="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D1041E"/>
    <w:rPr>
      <w:rFonts w:asciiTheme="majorHAnsi" w:eastAsiaTheme="majorEastAsia" w:hAnsiTheme="majorHAnsi" w:cstheme="majorBidi"/>
      <w:kern w:val="0"/>
      <w:sz w:val="52"/>
      <w:szCs w:val="32"/>
      <w:lang w:val="en-GB" w:eastAsia="en-US"/>
      <w14:ligatures w14:val="none"/>
    </w:rPr>
  </w:style>
  <w:style w:type="character" w:customStyle="1" w:styleId="20">
    <w:name w:val="見出し 2 (文字)"/>
    <w:basedOn w:val="a2"/>
    <w:link w:val="2"/>
    <w:uiPriority w:val="9"/>
    <w:rsid w:val="00D1041E"/>
    <w:rPr>
      <w:rFonts w:asciiTheme="majorHAnsi" w:eastAsiaTheme="majorEastAsia" w:hAnsiTheme="majorHAnsi" w:cstheme="majorBidi"/>
      <w:color w:val="008A96"/>
      <w:kern w:val="0"/>
      <w:sz w:val="32"/>
      <w:szCs w:val="26"/>
      <w:lang w:val="en-GB" w:eastAsia="en-US"/>
      <w14:ligatures w14:val="none"/>
    </w:rPr>
  </w:style>
  <w:style w:type="character" w:customStyle="1" w:styleId="30">
    <w:name w:val="見出し 3 (文字)"/>
    <w:basedOn w:val="a2"/>
    <w:link w:val="3"/>
    <w:uiPriority w:val="9"/>
    <w:rsid w:val="00D1041E"/>
    <w:rPr>
      <w:rFonts w:asciiTheme="majorHAnsi" w:eastAsiaTheme="majorEastAsia" w:hAnsiTheme="majorHAnsi" w:cstheme="majorBidi"/>
      <w:color w:val="0A2F40" w:themeColor="accent1" w:themeShade="7F"/>
      <w:kern w:val="0"/>
      <w:sz w:val="24"/>
      <w:lang w:val="en-GB" w:eastAsia="en-US"/>
      <w14:ligatures w14:val="none"/>
    </w:rPr>
  </w:style>
  <w:style w:type="character" w:customStyle="1" w:styleId="50">
    <w:name w:val="見出し 5 (文字)"/>
    <w:basedOn w:val="a2"/>
    <w:link w:val="5"/>
    <w:uiPriority w:val="9"/>
    <w:rsid w:val="00D1041E"/>
    <w:rPr>
      <w:rFonts w:asciiTheme="majorHAnsi" w:eastAsiaTheme="majorEastAsia" w:hAnsiTheme="majorHAnsi" w:cstheme="majorBidi"/>
      <w:color w:val="0F4761" w:themeColor="accent1" w:themeShade="BF"/>
      <w:kern w:val="0"/>
      <w:szCs w:val="22"/>
      <w:lang w:val="en-GB" w:eastAsia="en-US"/>
      <w14:ligatures w14:val="none"/>
    </w:rPr>
  </w:style>
  <w:style w:type="character" w:customStyle="1" w:styleId="60">
    <w:name w:val="見出し 6 (文字)"/>
    <w:basedOn w:val="a2"/>
    <w:link w:val="6"/>
    <w:uiPriority w:val="9"/>
    <w:rsid w:val="00D1041E"/>
    <w:rPr>
      <w:rFonts w:asciiTheme="majorHAnsi" w:eastAsiaTheme="majorEastAsia" w:hAnsiTheme="majorHAnsi" w:cstheme="majorBidi"/>
      <w:color w:val="0A2F40" w:themeColor="accent1" w:themeShade="7F"/>
      <w:kern w:val="0"/>
      <w:szCs w:val="22"/>
      <w:lang w:val="en-GB" w:eastAsia="en-US"/>
      <w14:ligatures w14:val="none"/>
    </w:rPr>
  </w:style>
  <w:style w:type="character" w:customStyle="1" w:styleId="70">
    <w:name w:val="見出し 7 (文字)"/>
    <w:basedOn w:val="a2"/>
    <w:link w:val="7"/>
    <w:uiPriority w:val="9"/>
    <w:semiHidden/>
    <w:rsid w:val="00D1041E"/>
    <w:rPr>
      <w:rFonts w:asciiTheme="majorHAnsi" w:eastAsiaTheme="majorEastAsia" w:hAnsiTheme="majorHAnsi" w:cstheme="majorBidi"/>
      <w:i/>
      <w:iCs/>
      <w:color w:val="0A2F40" w:themeColor="accent1" w:themeShade="7F"/>
      <w:kern w:val="0"/>
      <w:szCs w:val="22"/>
      <w:lang w:val="en-GB" w:eastAsia="en-US"/>
      <w14:ligatures w14:val="none"/>
    </w:rPr>
  </w:style>
  <w:style w:type="character" w:customStyle="1" w:styleId="80">
    <w:name w:val="見出し 8 (文字)"/>
    <w:basedOn w:val="a2"/>
    <w:link w:val="8"/>
    <w:uiPriority w:val="9"/>
    <w:semiHidden/>
    <w:rsid w:val="00D1041E"/>
    <w:rPr>
      <w:rFonts w:asciiTheme="majorHAnsi" w:eastAsiaTheme="majorEastAsia" w:hAnsiTheme="majorHAnsi" w:cstheme="majorBidi"/>
      <w:color w:val="272727" w:themeColor="text1" w:themeTint="D8"/>
      <w:kern w:val="0"/>
      <w:sz w:val="21"/>
      <w:szCs w:val="21"/>
      <w:lang w:val="en-GB" w:eastAsia="en-US"/>
      <w14:ligatures w14:val="none"/>
    </w:rPr>
  </w:style>
  <w:style w:type="character" w:customStyle="1" w:styleId="90">
    <w:name w:val="見出し 9 (文字)"/>
    <w:basedOn w:val="a2"/>
    <w:link w:val="9"/>
    <w:uiPriority w:val="9"/>
    <w:semiHidden/>
    <w:rsid w:val="00D1041E"/>
    <w:rPr>
      <w:rFonts w:asciiTheme="majorHAnsi" w:eastAsiaTheme="majorEastAsia" w:hAnsiTheme="majorHAnsi" w:cstheme="majorBidi"/>
      <w:i/>
      <w:iCs/>
      <w:color w:val="272727" w:themeColor="text1" w:themeTint="D8"/>
      <w:kern w:val="0"/>
      <w:sz w:val="21"/>
      <w:szCs w:val="21"/>
      <w:lang w:val="en-GB" w:eastAsia="en-US"/>
      <w14:ligatures w14:val="none"/>
    </w:rPr>
  </w:style>
  <w:style w:type="character" w:styleId="a5">
    <w:name w:val="Hyperlink"/>
    <w:basedOn w:val="a2"/>
    <w:uiPriority w:val="99"/>
    <w:unhideWhenUsed/>
    <w:rsid w:val="00D1041E"/>
    <w:rPr>
      <w:color w:val="0000FF"/>
      <w:u w:val="single"/>
    </w:rPr>
  </w:style>
  <w:style w:type="paragraph" w:styleId="a6">
    <w:name w:val="TOC Heading"/>
    <w:basedOn w:val="1"/>
    <w:next w:val="a1"/>
    <w:uiPriority w:val="39"/>
    <w:unhideWhenUsed/>
    <w:qFormat/>
    <w:rsid w:val="00D1041E"/>
    <w:pPr>
      <w:outlineLvl w:val="9"/>
    </w:pPr>
    <w:rPr>
      <w:sz w:val="32"/>
      <w:lang w:val="en-US"/>
    </w:rPr>
  </w:style>
  <w:style w:type="paragraph" w:styleId="11">
    <w:name w:val="toc 1"/>
    <w:basedOn w:val="a1"/>
    <w:next w:val="a1"/>
    <w:autoRedefine/>
    <w:uiPriority w:val="39"/>
    <w:unhideWhenUsed/>
    <w:rsid w:val="00D1041E"/>
    <w:pPr>
      <w:widowControl/>
      <w:tabs>
        <w:tab w:val="left" w:pos="440"/>
        <w:tab w:val="right" w:leader="dot" w:pos="9016"/>
      </w:tabs>
      <w:spacing w:before="120" w:after="100"/>
    </w:pPr>
    <w:rPr>
      <w:kern w:val="0"/>
      <w:szCs w:val="22"/>
      <w:lang w:val="en-GB" w:eastAsia="en-US"/>
      <w14:ligatures w14:val="none"/>
    </w:rPr>
  </w:style>
  <w:style w:type="paragraph" w:styleId="21">
    <w:name w:val="toc 2"/>
    <w:basedOn w:val="a1"/>
    <w:next w:val="a1"/>
    <w:autoRedefine/>
    <w:uiPriority w:val="39"/>
    <w:unhideWhenUsed/>
    <w:rsid w:val="00D1041E"/>
    <w:pPr>
      <w:widowControl/>
      <w:tabs>
        <w:tab w:val="left" w:pos="1021"/>
        <w:tab w:val="right" w:leader="dot" w:pos="9016"/>
      </w:tabs>
      <w:spacing w:before="120" w:after="100"/>
      <w:ind w:left="454"/>
    </w:pPr>
    <w:rPr>
      <w:kern w:val="0"/>
      <w:szCs w:val="22"/>
      <w:lang w:val="en-GB" w:eastAsia="en-US"/>
      <w14:ligatures w14:val="none"/>
    </w:rPr>
  </w:style>
  <w:style w:type="paragraph" w:styleId="a7">
    <w:name w:val="Subtitle"/>
    <w:basedOn w:val="a1"/>
    <w:next w:val="a1"/>
    <w:link w:val="a8"/>
    <w:uiPriority w:val="11"/>
    <w:qFormat/>
    <w:rsid w:val="00D1041E"/>
    <w:pPr>
      <w:widowControl/>
      <w:numPr>
        <w:ilvl w:val="1"/>
      </w:numPr>
      <w:spacing w:before="120"/>
    </w:pPr>
    <w:rPr>
      <w:color w:val="5A5A5A" w:themeColor="text1" w:themeTint="A5"/>
      <w:spacing w:val="15"/>
      <w:kern w:val="0"/>
      <w:szCs w:val="22"/>
      <w:lang w:val="en-GB" w:eastAsia="en-US"/>
      <w14:ligatures w14:val="none"/>
    </w:rPr>
  </w:style>
  <w:style w:type="character" w:customStyle="1" w:styleId="a8">
    <w:name w:val="副題 (文字)"/>
    <w:basedOn w:val="a2"/>
    <w:link w:val="a7"/>
    <w:uiPriority w:val="11"/>
    <w:rsid w:val="00D1041E"/>
    <w:rPr>
      <w:color w:val="5A5A5A" w:themeColor="text1" w:themeTint="A5"/>
      <w:spacing w:val="15"/>
      <w:kern w:val="0"/>
      <w:szCs w:val="22"/>
      <w:lang w:val="en-GB" w:eastAsia="en-US"/>
      <w14:ligatures w14:val="none"/>
    </w:rPr>
  </w:style>
  <w:style w:type="paragraph" w:customStyle="1" w:styleId="Style1">
    <w:name w:val="Style 1"/>
    <w:basedOn w:val="a9"/>
    <w:rsid w:val="00D1041E"/>
    <w:pPr>
      <w:widowControl/>
      <w:numPr>
        <w:numId w:val="3"/>
      </w:numPr>
      <w:spacing w:before="180" w:after="0" w:line="240" w:lineRule="auto"/>
      <w:ind w:leftChars="0" w:left="2416" w:hanging="432"/>
    </w:pPr>
    <w:rPr>
      <w:rFonts w:ascii="Arial" w:eastAsia="Calibri" w:hAnsi="Arial" w:cstheme="minorHAnsi"/>
      <w:kern w:val="0"/>
      <w:szCs w:val="22"/>
      <w:lang w:val="en-AU" w:eastAsia="en-US"/>
      <w14:ligatures w14:val="none"/>
    </w:rPr>
  </w:style>
  <w:style w:type="paragraph" w:styleId="a0">
    <w:name w:val="List Bullet"/>
    <w:basedOn w:val="a1"/>
    <w:uiPriority w:val="99"/>
    <w:unhideWhenUsed/>
    <w:rsid w:val="00D1041E"/>
    <w:pPr>
      <w:widowControl/>
      <w:numPr>
        <w:numId w:val="4"/>
      </w:numPr>
      <w:spacing w:before="120" w:after="0"/>
      <w:contextualSpacing/>
    </w:pPr>
    <w:rPr>
      <w:kern w:val="0"/>
      <w:szCs w:val="22"/>
      <w:lang w:val="en-GB" w:eastAsia="en-US"/>
      <w14:ligatures w14:val="none"/>
    </w:rPr>
  </w:style>
  <w:style w:type="character" w:styleId="aa">
    <w:name w:val="line number"/>
    <w:basedOn w:val="a2"/>
    <w:uiPriority w:val="99"/>
    <w:unhideWhenUsed/>
    <w:rsid w:val="00D1041E"/>
  </w:style>
  <w:style w:type="paragraph" w:styleId="a">
    <w:name w:val="List Number"/>
    <w:basedOn w:val="a1"/>
    <w:uiPriority w:val="99"/>
    <w:unhideWhenUsed/>
    <w:rsid w:val="00D1041E"/>
    <w:pPr>
      <w:widowControl/>
      <w:numPr>
        <w:numId w:val="5"/>
      </w:numPr>
      <w:spacing w:before="120" w:after="0"/>
      <w:contextualSpacing/>
    </w:pPr>
    <w:rPr>
      <w:kern w:val="0"/>
      <w:szCs w:val="22"/>
      <w:lang w:val="en-GB" w:eastAsia="en-US"/>
      <w14:ligatures w14:val="none"/>
    </w:rPr>
  </w:style>
  <w:style w:type="paragraph" w:styleId="a9">
    <w:name w:val="List Paragraph"/>
    <w:basedOn w:val="a1"/>
    <w:uiPriority w:val="34"/>
    <w:qFormat/>
    <w:rsid w:val="00D1041E"/>
    <w:pPr>
      <w:ind w:leftChars="400" w:left="840"/>
    </w:pPr>
  </w:style>
  <w:style w:type="paragraph" w:styleId="ab">
    <w:name w:val="footer"/>
    <w:basedOn w:val="a1"/>
    <w:link w:val="ac"/>
    <w:uiPriority w:val="99"/>
    <w:unhideWhenUsed/>
    <w:rsid w:val="00D1041E"/>
    <w:pPr>
      <w:widowControl/>
      <w:tabs>
        <w:tab w:val="center" w:pos="4513"/>
        <w:tab w:val="right" w:pos="9026"/>
      </w:tabs>
      <w:spacing w:before="120" w:after="0" w:line="240" w:lineRule="auto"/>
    </w:pPr>
    <w:rPr>
      <w:kern w:val="0"/>
      <w:szCs w:val="22"/>
      <w:lang w:val="en-GB" w:eastAsia="en-US"/>
      <w14:ligatures w14:val="none"/>
    </w:rPr>
  </w:style>
  <w:style w:type="character" w:customStyle="1" w:styleId="ac">
    <w:name w:val="フッター (文字)"/>
    <w:basedOn w:val="a2"/>
    <w:link w:val="ab"/>
    <w:uiPriority w:val="99"/>
    <w:rsid w:val="00D1041E"/>
    <w:rPr>
      <w:kern w:val="0"/>
      <w:szCs w:val="22"/>
      <w:lang w:val="en-GB" w:eastAsia="en-US"/>
      <w14:ligatures w14:val="none"/>
    </w:rPr>
  </w:style>
  <w:style w:type="paragraph" w:styleId="ad">
    <w:name w:val="caption"/>
    <w:basedOn w:val="a1"/>
    <w:next w:val="a1"/>
    <w:unhideWhenUsed/>
    <w:qFormat/>
    <w:rsid w:val="00D1041E"/>
    <w:pPr>
      <w:widowControl/>
      <w:spacing w:before="120" w:after="0" w:line="240" w:lineRule="auto"/>
    </w:pPr>
    <w:rPr>
      <w:i/>
      <w:iCs/>
      <w:color w:val="0E2841" w:themeColor="text2"/>
      <w:kern w:val="0"/>
      <w:sz w:val="18"/>
      <w:szCs w:val="18"/>
      <w:lang w:val="en-GB" w:eastAsia="en-US"/>
      <w14:ligatures w14:val="none"/>
    </w:rPr>
  </w:style>
  <w:style w:type="paragraph" w:styleId="ae">
    <w:name w:val="footnote text"/>
    <w:basedOn w:val="a1"/>
    <w:link w:val="af"/>
    <w:uiPriority w:val="99"/>
    <w:semiHidden/>
    <w:unhideWhenUsed/>
    <w:rsid w:val="00D1041E"/>
    <w:pPr>
      <w:widowControl/>
      <w:spacing w:before="120" w:after="0" w:line="240" w:lineRule="auto"/>
    </w:pPr>
    <w:rPr>
      <w:kern w:val="0"/>
      <w:sz w:val="20"/>
      <w:szCs w:val="20"/>
      <w:lang w:val="en-AU" w:eastAsia="en-US"/>
      <w14:ligatures w14:val="none"/>
    </w:rPr>
  </w:style>
  <w:style w:type="character" w:customStyle="1" w:styleId="af">
    <w:name w:val="脚注文字列 (文字)"/>
    <w:basedOn w:val="a2"/>
    <w:link w:val="ae"/>
    <w:uiPriority w:val="99"/>
    <w:semiHidden/>
    <w:rsid w:val="00D1041E"/>
    <w:rPr>
      <w:kern w:val="0"/>
      <w:sz w:val="20"/>
      <w:szCs w:val="20"/>
      <w:lang w:val="en-AU" w:eastAsia="en-US"/>
      <w14:ligatures w14:val="none"/>
    </w:rPr>
  </w:style>
  <w:style w:type="character" w:styleId="af0">
    <w:name w:val="footnote reference"/>
    <w:basedOn w:val="a2"/>
    <w:uiPriority w:val="99"/>
    <w:semiHidden/>
    <w:unhideWhenUsed/>
    <w:rsid w:val="00D1041E"/>
    <w:rPr>
      <w:vertAlign w:val="superscript"/>
    </w:rPr>
  </w:style>
  <w:style w:type="table" w:customStyle="1" w:styleId="DepartmentofHealthtable">
    <w:name w:val="Department of Health table"/>
    <w:basedOn w:val="a3"/>
    <w:uiPriority w:val="99"/>
    <w:rsid w:val="00D1041E"/>
    <w:pPr>
      <w:spacing w:after="0" w:line="240" w:lineRule="auto"/>
    </w:pPr>
    <w:rPr>
      <w:rFonts w:eastAsia="Times New Roman" w:cs="Times New Roman"/>
      <w:color w:val="000000" w:themeColor="text1"/>
      <w:kern w:val="0"/>
      <w:sz w:val="20"/>
      <w:szCs w:val="20"/>
      <w:lang w:val="en-AU" w:eastAsia="en-AU"/>
      <w14:ligatures w14:val="none"/>
    </w:rPr>
    <w:tblPr>
      <w:tblStyleRowBandSize w:val="1"/>
      <w:tblBorders>
        <w:top w:val="single" w:sz="4" w:space="0" w:color="auto"/>
        <w:bottom w:val="single" w:sz="4" w:space="0" w:color="auto"/>
        <w:insideH w:val="single" w:sz="4" w:space="0" w:color="auto"/>
      </w:tblBorders>
    </w:tblPr>
    <w:trPr>
      <w:cantSplit/>
    </w:tr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null1">
    <w:name w:val="null1"/>
    <w:basedOn w:val="a2"/>
    <w:rsid w:val="00D10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36005193/" TargetMode="External"/><Relationship Id="rId2" Type="http://schemas.openxmlformats.org/officeDocument/2006/relationships/hyperlink" Target="http://www.sciencedirect.com/science/article/pii/S1098301521031879?via%3Dihub" TargetMode="External"/><Relationship Id="rId1" Type="http://schemas.openxmlformats.org/officeDocument/2006/relationships/hyperlink" Target="http://www.aph.gov.au/Parliamentary_Business/Committees/House/Health_Aged_Care_and_Sport/Newdrugs/Report/section?id=committees%2freportrep%2f024755%2f77593" TargetMode="External"/><Relationship Id="rId6" Type="http://schemas.openxmlformats.org/officeDocument/2006/relationships/hyperlink" Target="http://www.msac.gov.au/internet/msac/publishing.nsf/Content/1623-public" TargetMode="External"/><Relationship Id="rId5" Type="http://schemas.openxmlformats.org/officeDocument/2006/relationships/hyperlink" Target="http://www.msac.gov.au/internet/msac/publishing.nsf/Content/1519.1-public" TargetMode="External"/><Relationship Id="rId4" Type="http://schemas.openxmlformats.org/officeDocument/2006/relationships/hyperlink" Target="http://www.pbs.gov.au/info/industry/listing/elements/pbac-meetings/psd/2021-09/onasemnogene-abeparvovec-solution-for-injection-customi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5D92-BAC4-4BB9-8D1F-66BD16D1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2124</Words>
  <Characters>12107</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SAKAMAKI Hiroyuki</dc:creator>
  <cp:keywords/>
  <dc:description/>
  <cp:lastModifiedBy>SAKAMAKI Hiroyuki</cp:lastModifiedBy>
  <cp:revision>3</cp:revision>
  <dcterms:created xsi:type="dcterms:W3CDTF">2024-07-18T08:32:00Z</dcterms:created>
  <dcterms:modified xsi:type="dcterms:W3CDTF">2024-07-18T09:02:00Z</dcterms:modified>
</cp:coreProperties>
</file>