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DD13A" w14:textId="6546A49D" w:rsidR="00FF745D" w:rsidRPr="00F46EF2" w:rsidRDefault="00F46EF2" w:rsidP="00F46EF2">
      <w:pPr>
        <w:pStyle w:val="1"/>
        <w:rPr>
          <w:rFonts w:cs="Times New Roman"/>
          <w:sz w:val="40"/>
          <w:szCs w:val="24"/>
        </w:rPr>
      </w:pPr>
      <w:bookmarkStart w:id="1" w:name="_Hlk142913494"/>
      <w:bookmarkStart w:id="2" w:name="_Toc161997077"/>
      <w:r w:rsidRPr="00F46EF2">
        <w:rPr>
          <w:rFonts w:cs="Times New Roman"/>
          <w:sz w:val="40"/>
          <w:szCs w:val="24"/>
        </w:rPr>
        <w:t>Health Technology Assessment Policy and Methods Review: HTA Methods: Economic Evaluation</w:t>
      </w:r>
      <w:r w:rsidRPr="00F46EF2">
        <w:rPr>
          <w:rFonts w:cs="Times New Roman"/>
          <w:sz w:val="40"/>
          <w:szCs w:val="24"/>
        </w:rPr>
        <w:br/>
      </w:r>
      <w:r w:rsidRPr="00F46EF2">
        <w:rPr>
          <w:rFonts w:cs="Times New Roman"/>
          <w:sz w:val="40"/>
          <w:szCs w:val="24"/>
        </w:rPr>
        <w:br/>
      </w:r>
      <w:r w:rsidRPr="00F46EF2">
        <w:rPr>
          <w:rFonts w:cs="Times New Roman"/>
          <w:sz w:val="40"/>
          <w:szCs w:val="24"/>
        </w:rPr>
        <w:t>Executive Summary</w:t>
      </w:r>
      <w:bookmarkEnd w:id="2"/>
    </w:p>
    <w:p w14:paraId="68A83F15" w14:textId="77777777" w:rsidR="00F46EF2" w:rsidRPr="00F46EF2" w:rsidRDefault="00F46EF2" w:rsidP="00F46EF2">
      <w:pPr>
        <w:pStyle w:val="a3"/>
        <w:rPr>
          <w:rFonts w:ascii="Times New Roman" w:eastAsia="ＭＳ Ｐ明朝" w:hAnsi="Times New Roman"/>
          <w:lang w:eastAsia="ja-JP"/>
        </w:rPr>
      </w:pPr>
    </w:p>
    <w:p w14:paraId="24608121" w14:textId="77777777" w:rsidR="00FF745D" w:rsidRPr="00F46EF2" w:rsidRDefault="00000000">
      <w:pPr>
        <w:pStyle w:val="NbrHeading2"/>
        <w:rPr>
          <w:rFonts w:ascii="Times New Roman" w:eastAsia="ＭＳ Ｐ明朝" w:hAnsi="Times New Roman" w:cs="Times New Roman"/>
          <w:sz w:val="24"/>
          <w:szCs w:val="22"/>
        </w:rPr>
      </w:pPr>
      <w:bookmarkStart w:id="3" w:name="_Toc161997078"/>
      <w:proofErr w:type="spellStart"/>
      <w:r w:rsidRPr="00F46EF2">
        <w:rPr>
          <w:rFonts w:ascii="Times New Roman" w:eastAsia="ＭＳ Ｐ明朝" w:hAnsi="Times New Roman" w:cs="Times New Roman"/>
          <w:sz w:val="24"/>
          <w:szCs w:val="22"/>
        </w:rPr>
        <w:t>背景</w:t>
      </w:r>
      <w:bookmarkEnd w:id="3"/>
      <w:proofErr w:type="spellEnd"/>
    </w:p>
    <w:p w14:paraId="25468769" w14:textId="77777777" w:rsidR="00FF745D" w:rsidRPr="00F46EF2" w:rsidRDefault="00000000">
      <w:pPr>
        <w:pStyle w:val="a3"/>
        <w:rPr>
          <w:rFonts w:ascii="Times New Roman" w:eastAsia="ＭＳ Ｐ明朝" w:hAnsi="Times New Roman"/>
          <w:sz w:val="21"/>
          <w:szCs w:val="21"/>
          <w:lang w:eastAsia="ja-JP"/>
        </w:rPr>
      </w:pPr>
      <w:r w:rsidRPr="00F46EF2">
        <w:rPr>
          <w:rFonts w:ascii="Times New Roman" w:eastAsia="ＭＳ Ｐ明朝" w:hAnsi="Times New Roman"/>
          <w:sz w:val="20"/>
          <w:szCs w:val="21"/>
          <w:lang w:eastAsia="ja-JP"/>
        </w:rPr>
        <w:t>本稿では、医療技術評価（</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）プロセスの一環として、オーストラリアや、</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が新たな医療技術の償還を支援するために利用されて</w:t>
      </w:r>
      <w:r w:rsidR="00574401" w:rsidRPr="00F46EF2">
        <w:rPr>
          <w:rFonts w:ascii="Times New Roman" w:eastAsia="ＭＳ Ｐ明朝" w:hAnsi="Times New Roman"/>
          <w:sz w:val="21"/>
          <w:szCs w:val="21"/>
          <w:lang w:eastAsia="ja-JP"/>
        </w:rPr>
        <w:t>いる</w:t>
      </w:r>
      <w:r w:rsidRPr="00F46EF2">
        <w:rPr>
          <w:rFonts w:ascii="Times New Roman" w:eastAsia="ＭＳ Ｐ明朝" w:hAnsi="Times New Roman"/>
          <w:sz w:val="20"/>
          <w:szCs w:val="21"/>
          <w:lang w:eastAsia="ja-JP"/>
        </w:rPr>
        <w:t>他の関心</w:t>
      </w:r>
      <w:r w:rsidR="000A300E" w:rsidRPr="00F46EF2">
        <w:rPr>
          <w:rFonts w:ascii="Times New Roman" w:eastAsia="ＭＳ Ｐ明朝" w:hAnsi="Times New Roman"/>
          <w:sz w:val="20"/>
          <w:szCs w:val="21"/>
          <w:lang w:eastAsia="ja-JP"/>
        </w:rPr>
        <w:t>法域において、</w:t>
      </w:r>
      <w:r w:rsidRPr="00F46EF2">
        <w:rPr>
          <w:rFonts w:ascii="Times New Roman" w:eastAsia="ＭＳ Ｐ明朝" w:hAnsi="Times New Roman"/>
          <w:sz w:val="20"/>
          <w:szCs w:val="21"/>
          <w:lang w:eastAsia="ja-JP"/>
        </w:rPr>
        <w:t>経済評価で用いられている手法の概要を</w:t>
      </w:r>
      <w:r w:rsidR="00D858E3" w:rsidRPr="00F46EF2">
        <w:rPr>
          <w:rFonts w:ascii="Times New Roman" w:eastAsia="ＭＳ Ｐ明朝" w:hAnsi="Times New Roman"/>
          <w:sz w:val="20"/>
          <w:szCs w:val="21"/>
          <w:lang w:eastAsia="ja-JP"/>
        </w:rPr>
        <w:t>示す。</w:t>
      </w:r>
      <w:r w:rsidR="009169C1" w:rsidRPr="00F46EF2">
        <w:rPr>
          <w:rFonts w:ascii="Times New Roman" w:eastAsia="ＭＳ Ｐ明朝" w:hAnsi="Times New Roman"/>
          <w:sz w:val="20"/>
          <w:szCs w:val="21"/>
          <w:lang w:eastAsia="ja-JP"/>
        </w:rPr>
        <w:t>HTA</w:t>
      </w:r>
      <w:r w:rsidR="009169C1" w:rsidRPr="00F46EF2">
        <w:rPr>
          <w:rFonts w:ascii="Times New Roman" w:eastAsia="ＭＳ Ｐ明朝" w:hAnsi="Times New Roman"/>
          <w:sz w:val="20"/>
          <w:szCs w:val="21"/>
          <w:lang w:eastAsia="ja-JP"/>
        </w:rPr>
        <w:t>審査</w:t>
      </w:r>
      <w:r w:rsidRPr="00F46EF2">
        <w:rPr>
          <w:rFonts w:ascii="Times New Roman" w:eastAsia="ＭＳ Ｐ明朝" w:hAnsi="Times New Roman"/>
          <w:sz w:val="20"/>
          <w:szCs w:val="21"/>
          <w:lang w:eastAsia="ja-JP"/>
        </w:rPr>
        <w:t>参考委員会（</w:t>
      </w:r>
      <w:r w:rsidR="009169C1" w:rsidRPr="00F46EF2">
        <w:rPr>
          <w:rFonts w:ascii="Times New Roman" w:eastAsia="ＭＳ Ｐ明朝" w:hAnsi="Times New Roman"/>
          <w:sz w:val="20"/>
          <w:szCs w:val="21"/>
          <w:lang w:eastAsia="ja-JP"/>
        </w:rPr>
        <w:t xml:space="preserve">HTA Review </w:t>
      </w:r>
      <w:r w:rsidRPr="00F46EF2">
        <w:rPr>
          <w:rFonts w:ascii="Times New Roman" w:eastAsia="ＭＳ Ｐ明朝" w:hAnsi="Times New Roman"/>
          <w:sz w:val="20"/>
          <w:szCs w:val="21"/>
          <w:lang w:eastAsia="ja-JP"/>
        </w:rPr>
        <w:t>Reference Committee</w:t>
      </w:r>
      <w:r w:rsidRPr="00F46EF2">
        <w:rPr>
          <w:rFonts w:ascii="Times New Roman" w:eastAsia="ＭＳ Ｐ明朝" w:hAnsi="Times New Roman"/>
          <w:sz w:val="20"/>
          <w:szCs w:val="21"/>
          <w:lang w:eastAsia="ja-JP"/>
        </w:rPr>
        <w:t>）が提供したガイダンスに基づき、</w:t>
      </w:r>
      <w:r w:rsidR="009169C1" w:rsidRPr="00F46EF2">
        <w:rPr>
          <w:rFonts w:ascii="Times New Roman" w:eastAsia="ＭＳ Ｐ明朝" w:hAnsi="Times New Roman"/>
          <w:sz w:val="20"/>
          <w:szCs w:val="21"/>
          <w:lang w:eastAsia="ja-JP"/>
        </w:rPr>
        <w:t>本論文で対象とした</w:t>
      </w:r>
      <w:r w:rsidRPr="00F46EF2">
        <w:rPr>
          <w:rFonts w:ascii="Times New Roman" w:eastAsia="ＭＳ Ｐ明朝" w:hAnsi="Times New Roman"/>
          <w:sz w:val="20"/>
          <w:szCs w:val="21"/>
          <w:lang w:eastAsia="ja-JP"/>
        </w:rPr>
        <w:t>国・地域は、英国（</w:t>
      </w:r>
      <w:r w:rsidR="00931A1D"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、スコットランド）、カナダ、ニュージーランド、フランス、ドイツ、ノルウェー、スペイン、スウェーデン、オランダ、ベルギー、ルクセンブルク、日本、韓国、シンガポール、</w:t>
      </w:r>
      <w:r w:rsidR="006D2886" w:rsidRPr="00F46EF2">
        <w:rPr>
          <w:rFonts w:ascii="Times New Roman" w:eastAsia="ＭＳ Ｐ明朝" w:hAnsi="Times New Roman"/>
          <w:sz w:val="20"/>
          <w:szCs w:val="21"/>
          <w:lang w:eastAsia="ja-JP"/>
        </w:rPr>
        <w:t>台湾である</w:t>
      </w:r>
      <w:r w:rsidRPr="00F46EF2">
        <w:rPr>
          <w:rFonts w:ascii="Times New Roman" w:eastAsia="ＭＳ Ｐ明朝" w:hAnsi="Times New Roman"/>
          <w:sz w:val="20"/>
          <w:szCs w:val="21"/>
          <w:lang w:eastAsia="ja-JP"/>
        </w:rPr>
        <w:t>。</w:t>
      </w:r>
      <w:r w:rsidR="00561454" w:rsidRPr="00F46EF2">
        <w:rPr>
          <w:rFonts w:ascii="Times New Roman" w:eastAsia="ＭＳ Ｐ明朝" w:hAnsi="Times New Roman"/>
          <w:sz w:val="20"/>
          <w:szCs w:val="21"/>
          <w:lang w:eastAsia="ja-JP"/>
        </w:rPr>
        <w:t>オーストラリアの医療制度に関連するものであれば、他の国の方法も考慮した。</w:t>
      </w:r>
    </w:p>
    <w:p w14:paraId="1DC5985F"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本稿は</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部構成となっており、経済評価に用いられる手法（第</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部）、</w:t>
      </w:r>
      <w:r w:rsidR="00574797" w:rsidRPr="00F46EF2">
        <w:rPr>
          <w:rFonts w:ascii="Times New Roman" w:eastAsia="ＭＳ Ｐ明朝" w:hAnsi="Times New Roman"/>
          <w:sz w:val="20"/>
          <w:szCs w:val="21"/>
          <w:lang w:eastAsia="ja-JP"/>
        </w:rPr>
        <w:t>特定の技術や特定の集団に対する特別な考慮事項（第</w:t>
      </w:r>
      <w:r w:rsidR="00574797" w:rsidRPr="00F46EF2">
        <w:rPr>
          <w:rFonts w:ascii="Times New Roman" w:eastAsia="ＭＳ Ｐ明朝" w:hAnsi="Times New Roman"/>
          <w:sz w:val="20"/>
          <w:szCs w:val="21"/>
          <w:lang w:eastAsia="ja-JP"/>
        </w:rPr>
        <w:t>2</w:t>
      </w:r>
      <w:r w:rsidR="00574797" w:rsidRPr="00F46EF2">
        <w:rPr>
          <w:rFonts w:ascii="Times New Roman" w:eastAsia="ＭＳ Ｐ明朝" w:hAnsi="Times New Roman"/>
          <w:sz w:val="20"/>
          <w:szCs w:val="21"/>
          <w:lang w:eastAsia="ja-JP"/>
        </w:rPr>
        <w:t>部</w:t>
      </w:r>
      <w:r w:rsidR="009169C1" w:rsidRPr="00F46EF2">
        <w:rPr>
          <w:rFonts w:ascii="Times New Roman" w:eastAsia="ＭＳ Ｐ明朝" w:hAnsi="Times New Roman"/>
          <w:sz w:val="20"/>
          <w:szCs w:val="21"/>
          <w:lang w:eastAsia="ja-JP"/>
        </w:rPr>
        <w:t>）、</w:t>
      </w:r>
      <w:r w:rsidR="00574797" w:rsidRPr="00F46EF2">
        <w:rPr>
          <w:rFonts w:ascii="Times New Roman" w:eastAsia="ＭＳ Ｐ明朝" w:hAnsi="Times New Roman"/>
          <w:sz w:val="20"/>
          <w:szCs w:val="21"/>
          <w:lang w:eastAsia="ja-JP"/>
        </w:rPr>
        <w:t>経済評価のプロセスや手法に対する最近の改革や変更（第</w:t>
      </w:r>
      <w:r w:rsidR="00574797"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部）について述べている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0732417" w14:textId="77777777" w:rsidR="00FF745D" w:rsidRPr="00F46EF2" w:rsidRDefault="00000000">
      <w:pPr>
        <w:pStyle w:val="NbrHeading2"/>
        <w:rPr>
          <w:rFonts w:ascii="Times New Roman" w:eastAsia="ＭＳ Ｐ明朝" w:hAnsi="Times New Roman" w:cs="Times New Roman"/>
          <w:sz w:val="24"/>
          <w:szCs w:val="22"/>
        </w:rPr>
      </w:pPr>
      <w:bookmarkStart w:id="4" w:name="_Toc161997079"/>
      <w:proofErr w:type="spellStart"/>
      <w:r w:rsidRPr="00F46EF2">
        <w:rPr>
          <w:rFonts w:ascii="Times New Roman" w:eastAsia="ＭＳ Ｐ明朝" w:hAnsi="Times New Roman" w:cs="Times New Roman"/>
          <w:sz w:val="24"/>
          <w:szCs w:val="22"/>
        </w:rPr>
        <w:t>方法</w:t>
      </w:r>
      <w:bookmarkEnd w:id="4"/>
      <w:proofErr w:type="spellEnd"/>
    </w:p>
    <w:p w14:paraId="1C3C6D4F"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経済評価手法に関する情報は、国・地域の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機関や</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組織・学会のウェブサイト、出版された文献、主要な利害関係者とのインタビューなど、複数の情報源から収集した。各国・法域で用いられている経済評価手法の比較フレームワークを用いて、各国・法域で用いられている経済評価手法の類似点、相違点、オーストラリアの設定との関連性を評価した。</w:t>
      </w:r>
    </w:p>
    <w:p w14:paraId="553A3934" w14:textId="77777777" w:rsidR="00FF745D" w:rsidRPr="00F46EF2" w:rsidRDefault="00000000">
      <w:pPr>
        <w:pStyle w:val="NbrHeading2"/>
        <w:rPr>
          <w:rFonts w:ascii="Times New Roman" w:eastAsia="ＭＳ Ｐ明朝" w:hAnsi="Times New Roman" w:cs="Times New Roman"/>
          <w:sz w:val="24"/>
          <w:szCs w:val="22"/>
        </w:rPr>
      </w:pPr>
      <w:bookmarkStart w:id="5" w:name="_Toc161997080"/>
      <w:r w:rsidRPr="00F46EF2">
        <w:rPr>
          <w:rFonts w:ascii="Times New Roman" w:eastAsia="ＭＳ Ｐ明朝" w:hAnsi="Times New Roman" w:cs="Times New Roman"/>
          <w:sz w:val="24"/>
          <w:szCs w:val="22"/>
        </w:rPr>
        <w:lastRenderedPageBreak/>
        <w:t>第</w:t>
      </w:r>
      <w:r w:rsidRPr="00F46EF2">
        <w:rPr>
          <w:rFonts w:ascii="Times New Roman" w:eastAsia="ＭＳ Ｐ明朝" w:hAnsi="Times New Roman" w:cs="Times New Roman"/>
          <w:sz w:val="24"/>
          <w:szCs w:val="22"/>
        </w:rPr>
        <w:t>1</w:t>
      </w:r>
      <w:r w:rsidRPr="00F46EF2">
        <w:rPr>
          <w:rFonts w:ascii="Times New Roman" w:eastAsia="ＭＳ Ｐ明朝" w:hAnsi="Times New Roman" w:cs="Times New Roman"/>
          <w:sz w:val="24"/>
          <w:szCs w:val="22"/>
        </w:rPr>
        <w:t>部</w:t>
      </w:r>
      <w:r w:rsidRPr="00F46EF2">
        <w:rPr>
          <w:rFonts w:ascii="Times New Roman" w:eastAsia="ＭＳ Ｐ明朝" w:hAnsi="Times New Roman" w:cs="Times New Roman"/>
          <w:sz w:val="24"/>
          <w:szCs w:val="22"/>
        </w:rPr>
        <w:t xml:space="preserve"> </w:t>
      </w:r>
      <w:proofErr w:type="spellStart"/>
      <w:r w:rsidR="00CB47AA" w:rsidRPr="00F46EF2">
        <w:rPr>
          <w:rFonts w:ascii="Times New Roman" w:eastAsia="ＭＳ Ｐ明朝" w:hAnsi="Times New Roman" w:cs="Times New Roman"/>
          <w:sz w:val="24"/>
          <w:szCs w:val="22"/>
        </w:rPr>
        <w:t>経済評価の方法</w:t>
      </w:r>
      <w:bookmarkEnd w:id="5"/>
      <w:proofErr w:type="spellEnd"/>
    </w:p>
    <w:p w14:paraId="35B16100" w14:textId="77777777" w:rsidR="00FF745D" w:rsidRPr="00F46EF2" w:rsidRDefault="00000000">
      <w:pPr>
        <w:pStyle w:val="NbrHeading3"/>
        <w:rPr>
          <w:rFonts w:ascii="Times New Roman" w:eastAsia="ＭＳ Ｐ明朝" w:hAnsi="Times New Roman"/>
          <w:sz w:val="20"/>
          <w:szCs w:val="21"/>
          <w:lang w:eastAsia="ja-JP"/>
        </w:rPr>
      </w:pPr>
      <w:bookmarkStart w:id="6" w:name="_Toc161997081"/>
      <w:proofErr w:type="spellStart"/>
      <w:r w:rsidRPr="00F46EF2">
        <w:rPr>
          <w:rFonts w:ascii="Times New Roman" w:eastAsia="ＭＳ Ｐ明朝" w:hAnsi="Times New Roman"/>
          <w:sz w:val="20"/>
          <w:szCs w:val="21"/>
          <w:lang w:eastAsia="ja-JP"/>
        </w:rPr>
        <w:t>オーストラリアおよび国際的な経済評価のアプローチ</w:t>
      </w:r>
      <w:proofErr w:type="spellEnd"/>
      <w:r w:rsidRPr="00F46EF2">
        <w:rPr>
          <w:rFonts w:ascii="Times New Roman" w:eastAsia="ＭＳ Ｐ明朝" w:hAnsi="Times New Roman"/>
          <w:sz w:val="20"/>
          <w:szCs w:val="21"/>
          <w:lang w:eastAsia="ja-JP"/>
        </w:rPr>
        <w:t xml:space="preserve"> </w:t>
      </w:r>
      <w:bookmarkEnd w:id="6"/>
    </w:p>
    <w:p w14:paraId="70E3000F" w14:textId="77777777" w:rsidR="00FF745D" w:rsidRPr="00F46EF2" w:rsidRDefault="00FA7C9E">
      <w:pPr>
        <w:pStyle w:val="NbrHeading4"/>
        <w:rPr>
          <w:rFonts w:ascii="Times New Roman" w:eastAsia="ＭＳ Ｐ明朝" w:hAnsi="Times New Roman"/>
          <w:sz w:val="20"/>
          <w:szCs w:val="21"/>
        </w:rPr>
      </w:pPr>
      <w:proofErr w:type="spellStart"/>
      <w:r w:rsidRPr="00F46EF2">
        <w:rPr>
          <w:rFonts w:ascii="Times New Roman" w:eastAsia="ＭＳ Ｐ明朝" w:hAnsi="Times New Roman"/>
          <w:sz w:val="20"/>
          <w:szCs w:val="21"/>
        </w:rPr>
        <w:t>世界の</w:t>
      </w:r>
      <w:r w:rsidRPr="00F46EF2">
        <w:rPr>
          <w:rFonts w:ascii="Times New Roman" w:eastAsia="ＭＳ Ｐ明朝" w:hAnsi="Times New Roman"/>
          <w:sz w:val="20"/>
          <w:szCs w:val="21"/>
        </w:rPr>
        <w:t>HTA</w:t>
      </w:r>
      <w:r w:rsidRPr="00F46EF2">
        <w:rPr>
          <w:rFonts w:ascii="Times New Roman" w:eastAsia="ＭＳ Ｐ明朝" w:hAnsi="Times New Roman"/>
          <w:sz w:val="20"/>
          <w:szCs w:val="21"/>
        </w:rPr>
        <w:t>システム</w:t>
      </w:r>
      <w:proofErr w:type="spellEnd"/>
    </w:p>
    <w:p w14:paraId="4F862F17" w14:textId="77777777" w:rsidR="00FF745D"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経済評価は、介入策を体系的に比較するための枠組みを提供し、関連するすべての代替案が明</w:t>
      </w:r>
      <w:proofErr w:type="spellEnd"/>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確に特定され、分析され、評価されるようにする。</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のプロセスが</w:t>
      </w:r>
      <w:r w:rsidR="009169C1" w:rsidRPr="00F46EF2">
        <w:rPr>
          <w:rFonts w:ascii="Times New Roman" w:eastAsia="ＭＳ Ｐ明朝" w:hAnsi="Times New Roman"/>
          <w:sz w:val="20"/>
          <w:szCs w:val="21"/>
          <w:lang w:eastAsia="ja-JP"/>
        </w:rPr>
        <w:t>（償還の）</w:t>
      </w:r>
      <w:r w:rsidRPr="00F46EF2">
        <w:rPr>
          <w:rFonts w:ascii="Times New Roman" w:eastAsia="ＭＳ Ｐ明朝" w:hAnsi="Times New Roman"/>
          <w:sz w:val="20"/>
          <w:szCs w:val="21"/>
          <w:lang w:eastAsia="ja-JP"/>
        </w:rPr>
        <w:t>意思決定において経済評価の結果に依存する程度は、</w:t>
      </w:r>
      <w:r w:rsidR="004A0568" w:rsidRPr="00F46EF2">
        <w:rPr>
          <w:rFonts w:ascii="Times New Roman" w:eastAsia="ＭＳ Ｐ明朝" w:hAnsi="Times New Roman"/>
          <w:sz w:val="20"/>
          <w:szCs w:val="21"/>
          <w:lang w:eastAsia="ja-JP"/>
        </w:rPr>
        <w:t>法域によって</w:t>
      </w:r>
      <w:r w:rsidRPr="00F46EF2">
        <w:rPr>
          <w:rFonts w:ascii="Times New Roman" w:eastAsia="ＭＳ Ｐ明朝" w:hAnsi="Times New Roman"/>
          <w:sz w:val="20"/>
          <w:szCs w:val="21"/>
          <w:lang w:eastAsia="ja-JP"/>
        </w:rPr>
        <w:t>異なる。本レビューに含まれる</w:t>
      </w:r>
      <w:r w:rsidRPr="00F46EF2">
        <w:rPr>
          <w:rFonts w:ascii="Times New Roman" w:eastAsia="ＭＳ Ｐ明朝" w:hAnsi="Times New Roman"/>
          <w:sz w:val="20"/>
          <w:szCs w:val="21"/>
          <w:lang w:eastAsia="ja-JP"/>
        </w:rPr>
        <w:t>12</w:t>
      </w:r>
      <w:r w:rsidRPr="00F46EF2">
        <w:rPr>
          <w:rFonts w:ascii="Times New Roman" w:eastAsia="ＭＳ Ｐ明朝" w:hAnsi="Times New Roman"/>
          <w:sz w:val="20"/>
          <w:szCs w:val="21"/>
          <w:lang w:eastAsia="ja-JP"/>
        </w:rPr>
        <w:t>の</w:t>
      </w:r>
      <w:r w:rsidR="004A0568" w:rsidRPr="00F46EF2">
        <w:rPr>
          <w:rFonts w:ascii="Times New Roman" w:eastAsia="ＭＳ Ｐ明朝" w:hAnsi="Times New Roman"/>
          <w:sz w:val="20"/>
          <w:szCs w:val="21"/>
          <w:lang w:eastAsia="ja-JP"/>
        </w:rPr>
        <w:t>国・地域</w:t>
      </w:r>
      <w:r w:rsidRPr="00F46EF2">
        <w:rPr>
          <w:rFonts w:ascii="Times New Roman" w:eastAsia="ＭＳ Ｐ明朝" w:hAnsi="Times New Roman"/>
          <w:sz w:val="20"/>
          <w:szCs w:val="21"/>
          <w:lang w:eastAsia="ja-JP"/>
        </w:rPr>
        <w:t>（オーストラリア、イングランド・ウェールズ、スコットランド、</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ニュージーランド、カナダ、オランダ、ベルギ</w:t>
      </w:r>
      <w:proofErr w:type="spellEnd"/>
      <w:r w:rsidRPr="00F46EF2">
        <w:rPr>
          <w:rFonts w:ascii="Times New Roman" w:eastAsia="ＭＳ Ｐ明朝" w:hAnsi="Times New Roman"/>
          <w:sz w:val="20"/>
          <w:szCs w:val="21"/>
          <w:lang w:eastAsia="ja-JP"/>
        </w:rPr>
        <w:t>ー、</w:t>
      </w:r>
      <w:proofErr w:type="spellStart"/>
      <w:r w:rsidRPr="00F46EF2">
        <w:rPr>
          <w:rFonts w:ascii="Times New Roman" w:eastAsia="ＭＳ Ｐ明朝" w:hAnsi="Times New Roman"/>
          <w:sz w:val="20"/>
          <w:szCs w:val="21"/>
          <w:lang w:eastAsia="ja-JP"/>
        </w:rPr>
        <w:t>ノルウェ</w:t>
      </w:r>
      <w:proofErr w:type="spellEnd"/>
      <w:r w:rsidRPr="00F46EF2">
        <w:rPr>
          <w:rFonts w:ascii="Times New Roman" w:eastAsia="ＭＳ Ｐ明朝" w:hAnsi="Times New Roman"/>
          <w:sz w:val="20"/>
          <w:szCs w:val="21"/>
          <w:lang w:eastAsia="ja-JP"/>
        </w:rPr>
        <w:t>ー、</w:t>
      </w:r>
      <w:proofErr w:type="spellStart"/>
      <w:r w:rsidRPr="00F46EF2">
        <w:rPr>
          <w:rFonts w:ascii="Times New Roman" w:eastAsia="ＭＳ Ｐ明朝" w:hAnsi="Times New Roman"/>
          <w:sz w:val="20"/>
          <w:szCs w:val="21"/>
          <w:lang w:eastAsia="ja-JP"/>
        </w:rPr>
        <w:t>スウェーデン、シンガポール</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韓国、台湾）は、</w:t>
      </w:r>
      <w:r w:rsidR="009169C1" w:rsidRPr="00F46EF2">
        <w:rPr>
          <w:rFonts w:ascii="Times New Roman" w:eastAsia="ＭＳ Ｐ明朝" w:hAnsi="Times New Roman"/>
          <w:sz w:val="20"/>
          <w:szCs w:val="21"/>
          <w:lang w:eastAsia="ja-JP"/>
        </w:rPr>
        <w:t>意思決定において</w:t>
      </w:r>
      <w:r w:rsidRPr="00F46EF2">
        <w:rPr>
          <w:rFonts w:ascii="Times New Roman" w:eastAsia="ＭＳ Ｐ明朝" w:hAnsi="Times New Roman"/>
          <w:sz w:val="20"/>
          <w:szCs w:val="21"/>
          <w:lang w:eastAsia="ja-JP"/>
        </w:rPr>
        <w:t>経済</w:t>
      </w:r>
      <w:r w:rsidR="009169C1" w:rsidRPr="00F46EF2">
        <w:rPr>
          <w:rFonts w:ascii="Times New Roman" w:eastAsia="ＭＳ Ｐ明朝" w:hAnsi="Times New Roman"/>
          <w:sz w:val="20"/>
          <w:szCs w:val="21"/>
          <w:lang w:eastAsia="ja-JP"/>
        </w:rPr>
        <w:t>評価を</w:t>
      </w:r>
      <w:r w:rsidRPr="00F46EF2">
        <w:rPr>
          <w:rFonts w:ascii="Times New Roman" w:eastAsia="ＭＳ Ｐ明朝" w:hAnsi="Times New Roman"/>
          <w:sz w:val="20"/>
          <w:szCs w:val="21"/>
          <w:lang w:eastAsia="ja-JP"/>
        </w:rPr>
        <w:t>正式に</w:t>
      </w:r>
      <w:r w:rsidR="009169C1" w:rsidRPr="00F46EF2">
        <w:rPr>
          <w:rFonts w:ascii="Times New Roman" w:eastAsia="ＭＳ Ｐ明朝" w:hAnsi="Times New Roman"/>
          <w:sz w:val="20"/>
          <w:szCs w:val="21"/>
          <w:lang w:eastAsia="ja-JP"/>
        </w:rPr>
        <w:t>適用している。</w:t>
      </w:r>
      <w:r w:rsidRPr="00F46EF2">
        <w:rPr>
          <w:rFonts w:ascii="Times New Roman" w:eastAsia="ＭＳ Ｐ明朝" w:hAnsi="Times New Roman"/>
          <w:sz w:val="20"/>
          <w:szCs w:val="21"/>
          <w:lang w:eastAsia="ja-JP"/>
        </w:rPr>
        <w:t>日本では、薬価割増が検討される場合にのみ、</w:t>
      </w:r>
      <w:r w:rsidR="009169C1" w:rsidRPr="00F46EF2">
        <w:rPr>
          <w:rFonts w:ascii="Times New Roman" w:eastAsia="ＭＳ Ｐ明朝" w:hAnsi="Times New Roman"/>
          <w:sz w:val="20"/>
          <w:szCs w:val="21"/>
          <w:lang w:eastAsia="ja-JP"/>
        </w:rPr>
        <w:t>薬価レビューの一環として</w:t>
      </w:r>
      <w:r w:rsidRPr="00F46EF2">
        <w:rPr>
          <w:rFonts w:ascii="Times New Roman" w:eastAsia="ＭＳ Ｐ明朝" w:hAnsi="Times New Roman"/>
          <w:sz w:val="20"/>
          <w:szCs w:val="21"/>
          <w:lang w:eastAsia="ja-JP"/>
        </w:rPr>
        <w:t>経済評価が正式に用いられている。</w:t>
      </w:r>
      <w:r w:rsidR="0022554C" w:rsidRPr="00F46EF2">
        <w:rPr>
          <w:rFonts w:ascii="Times New Roman" w:eastAsia="ＭＳ Ｐ明朝" w:hAnsi="Times New Roman"/>
          <w:sz w:val="20"/>
          <w:szCs w:val="21"/>
          <w:lang w:eastAsia="ja-JP"/>
        </w:rPr>
        <w:t>フランスでは、</w:t>
      </w:r>
      <w:r w:rsidR="0022554C" w:rsidRPr="00F46EF2">
        <w:rPr>
          <w:rFonts w:ascii="Times New Roman" w:eastAsia="ＭＳ Ｐ明朝" w:hAnsi="Times New Roman"/>
          <w:sz w:val="20"/>
          <w:szCs w:val="21"/>
          <w:lang w:eastAsia="ja-JP"/>
        </w:rPr>
        <w:t>HTA</w:t>
      </w:r>
      <w:r w:rsidR="0022554C" w:rsidRPr="00F46EF2">
        <w:rPr>
          <w:rFonts w:ascii="Times New Roman" w:eastAsia="ＭＳ Ｐ明朝" w:hAnsi="Times New Roman"/>
          <w:sz w:val="20"/>
          <w:szCs w:val="21"/>
          <w:lang w:eastAsia="ja-JP"/>
        </w:rPr>
        <w:t>プロセスは主に薬価設定に使用され、償還には使用されない。</w:t>
      </w:r>
      <w:r w:rsidR="0007154C" w:rsidRPr="00F46EF2">
        <w:rPr>
          <w:rFonts w:ascii="Times New Roman" w:eastAsia="ＭＳ Ｐ明朝" w:hAnsi="Times New Roman"/>
          <w:sz w:val="20"/>
          <w:szCs w:val="21"/>
          <w:lang w:eastAsia="ja-JP"/>
        </w:rPr>
        <w:t>HAS</w:t>
      </w:r>
      <w:r w:rsidR="00863516" w:rsidRPr="00F46EF2">
        <w:rPr>
          <w:rFonts w:ascii="Times New Roman" w:eastAsia="ＭＳ Ｐ明朝" w:hAnsi="Times New Roman"/>
          <w:sz w:val="20"/>
          <w:szCs w:val="21"/>
          <w:lang w:eastAsia="ja-JP"/>
        </w:rPr>
        <w:t>（</w:t>
      </w:r>
      <w:r w:rsidR="0007154C" w:rsidRPr="00F46EF2">
        <w:rPr>
          <w:rFonts w:ascii="Times New Roman" w:eastAsia="ＭＳ Ｐ明朝" w:hAnsi="Times New Roman"/>
          <w:sz w:val="20"/>
          <w:szCs w:val="21"/>
          <w:lang w:eastAsia="ja-JP"/>
        </w:rPr>
        <w:t xml:space="preserve">Haute </w:t>
      </w:r>
      <w:proofErr w:type="spellStart"/>
      <w:r w:rsidR="0007154C" w:rsidRPr="00F46EF2">
        <w:rPr>
          <w:rFonts w:ascii="Times New Roman" w:eastAsia="ＭＳ Ｐ明朝" w:hAnsi="Times New Roman"/>
          <w:sz w:val="20"/>
          <w:szCs w:val="21"/>
          <w:lang w:eastAsia="ja-JP"/>
        </w:rPr>
        <w:t>Autorité</w:t>
      </w:r>
      <w:proofErr w:type="spellEnd"/>
      <w:r w:rsidR="0007154C" w:rsidRPr="00F46EF2">
        <w:rPr>
          <w:rFonts w:ascii="Times New Roman" w:eastAsia="ＭＳ Ｐ明朝" w:hAnsi="Times New Roman"/>
          <w:sz w:val="20"/>
          <w:szCs w:val="21"/>
          <w:lang w:eastAsia="ja-JP"/>
        </w:rPr>
        <w:t xml:space="preserve"> de Santé</w:t>
      </w:r>
      <w:r w:rsidR="0007154C" w:rsidRPr="00F46EF2">
        <w:rPr>
          <w:rFonts w:ascii="Times New Roman" w:eastAsia="ＭＳ Ｐ明朝" w:hAnsi="Times New Roman"/>
          <w:sz w:val="20"/>
          <w:szCs w:val="21"/>
          <w:lang w:eastAsia="ja-JP"/>
        </w:rPr>
        <w:t>：フランス国立衛生局）は、</w:t>
      </w:r>
      <w:r w:rsidR="0022554C" w:rsidRPr="00F46EF2">
        <w:rPr>
          <w:rFonts w:ascii="Times New Roman" w:eastAsia="ＭＳ Ｐ明朝" w:hAnsi="Times New Roman"/>
          <w:sz w:val="20"/>
          <w:szCs w:val="21"/>
          <w:lang w:eastAsia="ja-JP"/>
        </w:rPr>
        <w:t>医薬品と医療機器について経済評価が必要とされるケースを</w:t>
      </w:r>
      <w:r w:rsidR="00F46580" w:rsidRPr="00F46EF2">
        <w:rPr>
          <w:rFonts w:ascii="Times New Roman" w:eastAsia="ＭＳ Ｐ明朝" w:hAnsi="Times New Roman"/>
          <w:sz w:val="20"/>
          <w:szCs w:val="21"/>
          <w:lang w:eastAsia="ja-JP"/>
        </w:rPr>
        <w:t>指定して</w:t>
      </w:r>
      <w:r w:rsidR="0022554C" w:rsidRPr="00F46EF2">
        <w:rPr>
          <w:rFonts w:ascii="Times New Roman" w:eastAsia="ＭＳ Ｐ明朝" w:hAnsi="Times New Roman"/>
          <w:sz w:val="20"/>
          <w:szCs w:val="21"/>
          <w:lang w:eastAsia="ja-JP"/>
        </w:rPr>
        <w:t>いる。</w:t>
      </w:r>
      <w:r w:rsidR="00BE66AB" w:rsidRPr="00F46EF2">
        <w:rPr>
          <w:rFonts w:ascii="Times New Roman" w:eastAsia="ＭＳ Ｐ明朝" w:hAnsi="Times New Roman"/>
          <w:sz w:val="20"/>
          <w:szCs w:val="21"/>
          <w:lang w:eastAsia="ja-JP"/>
        </w:rPr>
        <w:t>ドイツとスペインの</w:t>
      </w:r>
      <w:r w:rsidR="0022554C" w:rsidRPr="00F46EF2">
        <w:rPr>
          <w:rFonts w:ascii="Times New Roman" w:eastAsia="ＭＳ Ｐ明朝" w:hAnsi="Times New Roman"/>
          <w:sz w:val="20"/>
          <w:szCs w:val="21"/>
          <w:lang w:eastAsia="ja-JP"/>
        </w:rPr>
        <w:t>2</w:t>
      </w:r>
      <w:r w:rsidR="006040DF" w:rsidRPr="00F46EF2">
        <w:rPr>
          <w:rFonts w:ascii="Times New Roman" w:eastAsia="ＭＳ Ｐ明朝" w:hAnsi="Times New Roman"/>
          <w:sz w:val="20"/>
          <w:szCs w:val="21"/>
          <w:lang w:eastAsia="ja-JP"/>
        </w:rPr>
        <w:t>カ国は、</w:t>
      </w:r>
      <w:r w:rsidR="009169C1" w:rsidRPr="00F46EF2">
        <w:rPr>
          <w:rFonts w:ascii="Times New Roman" w:eastAsia="ＭＳ Ｐ明朝" w:hAnsi="Times New Roman"/>
          <w:sz w:val="20"/>
          <w:szCs w:val="21"/>
          <w:lang w:eastAsia="ja-JP"/>
        </w:rPr>
        <w:t>意思</w:t>
      </w:r>
      <w:r w:rsidR="00BE66AB" w:rsidRPr="00F46EF2">
        <w:rPr>
          <w:rFonts w:ascii="Times New Roman" w:eastAsia="ＭＳ Ｐ明朝" w:hAnsi="Times New Roman"/>
          <w:sz w:val="20"/>
          <w:szCs w:val="21"/>
          <w:lang w:eastAsia="ja-JP"/>
        </w:rPr>
        <w:t>決定に経済評価を用いていない</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F64D2A6" w14:textId="77777777" w:rsidR="00156C9E" w:rsidRPr="00F46EF2" w:rsidRDefault="00156C9E">
      <w:pPr>
        <w:pStyle w:val="a3"/>
        <w:rPr>
          <w:rFonts w:ascii="Times New Roman" w:eastAsia="ＭＳ Ｐ明朝" w:hAnsi="Times New Roman"/>
          <w:sz w:val="20"/>
          <w:szCs w:val="21"/>
          <w:lang w:eastAsia="ja-JP"/>
        </w:rPr>
      </w:pPr>
    </w:p>
    <w:p w14:paraId="69C97812" w14:textId="77777777" w:rsidR="00FF745D" w:rsidRPr="00F46EF2" w:rsidRDefault="00000000">
      <w:pPr>
        <w:pStyle w:val="NbrHeading4"/>
        <w:rPr>
          <w:rFonts w:ascii="Times New Roman" w:eastAsia="ＭＳ Ｐ明朝" w:hAnsi="Times New Roman"/>
          <w:sz w:val="20"/>
          <w:szCs w:val="21"/>
        </w:rPr>
      </w:pPr>
      <w:proofErr w:type="spellStart"/>
      <w:r w:rsidRPr="00F46EF2">
        <w:rPr>
          <w:rFonts w:ascii="Times New Roman" w:eastAsia="ＭＳ Ｐ明朝" w:hAnsi="Times New Roman"/>
          <w:sz w:val="20"/>
          <w:szCs w:val="21"/>
        </w:rPr>
        <w:t>展望</w:t>
      </w:r>
      <w:proofErr w:type="spellEnd"/>
    </w:p>
    <w:p w14:paraId="711027E6"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つの国（オランダ（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台湾（</w:t>
      </w:r>
      <w:r w:rsidRPr="00F46EF2">
        <w:rPr>
          <w:rFonts w:ascii="Times New Roman" w:eastAsia="ＭＳ Ｐ明朝" w:hAnsi="Times New Roman"/>
          <w:sz w:val="20"/>
          <w:szCs w:val="21"/>
          <w:lang w:eastAsia="ja-JP"/>
        </w:rPr>
        <w:t>CDE</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は、リファレンスケース</w:t>
      </w:r>
      <w:proofErr w:type="spellEnd"/>
      <w:r w:rsidR="00574797" w:rsidRPr="00F46EF2">
        <w:rPr>
          <w:rFonts w:ascii="Times New Roman" w:eastAsia="ＭＳ Ｐ明朝" w:hAnsi="Times New Roman"/>
          <w:sz w:val="20"/>
          <w:szCs w:val="21"/>
          <w:lang w:eastAsia="ja-JP"/>
        </w:rPr>
        <w:t>（</w:t>
      </w:r>
      <w:bookmarkStart w:id="7" w:name="_Ref146544538"/>
      <w:r w:rsidRPr="00F46EF2">
        <w:rPr>
          <w:rStyle w:val="aff"/>
          <w:rFonts w:ascii="Times New Roman" w:eastAsia="ＭＳ Ｐ明朝" w:hAnsi="Times New Roman"/>
          <w:sz w:val="20"/>
          <w:szCs w:val="21"/>
        </w:rPr>
        <w:footnoteReference w:id="2"/>
      </w:r>
      <w:bookmarkEnd w:id="7"/>
      <w:r w:rsidR="00574797" w:rsidRPr="00F46EF2">
        <w:rPr>
          <w:rFonts w:ascii="Times New Roman" w:eastAsia="ＭＳ Ｐ明朝" w:hAnsi="Times New Roman"/>
          <w:sz w:val="20"/>
          <w:szCs w:val="21"/>
          <w:lang w:eastAsia="ja-JP"/>
        </w:rPr>
        <w:t xml:space="preserve"> </w:t>
      </w:r>
      <w:r w:rsidR="00574797" w:rsidRPr="00F46EF2">
        <w:rPr>
          <w:rFonts w:ascii="Times New Roman" w:eastAsia="ＭＳ Ｐ明朝" w:hAnsi="Times New Roman"/>
          <w:sz w:val="20"/>
          <w:szCs w:val="21"/>
          <w:lang w:eastAsia="ja-JP"/>
        </w:rPr>
        <w:t>）</w:t>
      </w:r>
      <w:r w:rsidR="00574797" w:rsidRPr="00F46EF2">
        <w:rPr>
          <w:rFonts w:ascii="Times New Roman" w:eastAsia="ＭＳ Ｐ明朝" w:hAnsi="Times New Roman"/>
          <w:sz w:val="20"/>
          <w:szCs w:val="21"/>
          <w:lang w:eastAsia="ja-JP"/>
        </w:rPr>
        <w:t xml:space="preserve"> </w:t>
      </w:r>
      <w:proofErr w:type="spellStart"/>
      <w:r w:rsidR="00574797" w:rsidRPr="00F46EF2">
        <w:rPr>
          <w:rFonts w:ascii="Times New Roman" w:eastAsia="ＭＳ Ｐ明朝" w:hAnsi="Times New Roman"/>
          <w:sz w:val="20"/>
          <w:szCs w:val="21"/>
          <w:lang w:eastAsia="ja-JP"/>
        </w:rPr>
        <w:t>の</w:t>
      </w:r>
      <w:r w:rsidRPr="00F46EF2">
        <w:rPr>
          <w:rFonts w:ascii="Times New Roman" w:eastAsia="ＭＳ Ｐ明朝" w:hAnsi="Times New Roman"/>
          <w:sz w:val="20"/>
          <w:szCs w:val="21"/>
          <w:lang w:eastAsia="ja-JP"/>
        </w:rPr>
        <w:t>経済評価において社会的視点を用いるとしているが、</w:t>
      </w:r>
      <w:r w:rsidR="00574797" w:rsidRPr="00F46EF2">
        <w:rPr>
          <w:rFonts w:ascii="Times New Roman" w:eastAsia="ＭＳ Ｐ明朝" w:hAnsi="Times New Roman"/>
          <w:sz w:val="20"/>
          <w:szCs w:val="21"/>
          <w:lang w:eastAsia="ja-JP"/>
        </w:rPr>
        <w:t>他のすべての国では、リファレンスケースについ</w:t>
      </w:r>
      <w:proofErr w:type="spellEnd"/>
      <w:r w:rsidR="00574797" w:rsidRPr="00F46EF2">
        <w:rPr>
          <w:rFonts w:ascii="Times New Roman" w:eastAsia="ＭＳ Ｐ明朝" w:hAnsi="Times New Roman"/>
          <w:sz w:val="20"/>
          <w:szCs w:val="21"/>
          <w:lang w:eastAsia="ja-JP"/>
        </w:rPr>
        <w:t xml:space="preserve"> </w:t>
      </w:r>
      <w:r w:rsidR="00574797" w:rsidRPr="00F46EF2">
        <w:rPr>
          <w:rFonts w:ascii="Times New Roman" w:eastAsia="ＭＳ Ｐ明朝" w:hAnsi="Times New Roman"/>
          <w:sz w:val="20"/>
          <w:szCs w:val="21"/>
          <w:lang w:eastAsia="ja-JP"/>
        </w:rPr>
        <w:t>て医療費支払者の視点が考慮されている。このような視点の違いにより、</w:t>
      </w:r>
      <w:r w:rsidR="008950FA" w:rsidRPr="00F46EF2">
        <w:rPr>
          <w:rFonts w:ascii="Times New Roman" w:eastAsia="ＭＳ Ｐ明朝" w:hAnsi="Times New Roman"/>
          <w:sz w:val="20"/>
          <w:szCs w:val="21"/>
          <w:lang w:eastAsia="ja-JP"/>
        </w:rPr>
        <w:t>オランダでは、</w:t>
      </w:r>
      <w:r w:rsidR="00574797" w:rsidRPr="00F46EF2">
        <w:rPr>
          <w:rFonts w:ascii="Times New Roman" w:eastAsia="ＭＳ Ｐ明朝" w:hAnsi="Times New Roman"/>
          <w:sz w:val="20"/>
          <w:szCs w:val="21"/>
          <w:lang w:eastAsia="ja-JP"/>
        </w:rPr>
        <w:t>特に経済モデリングにコストと便益を含めることに関して、異なる方法が検討されている。</w:t>
      </w:r>
      <w:r w:rsidR="00574797" w:rsidRPr="00F46EF2">
        <w:rPr>
          <w:rFonts w:ascii="Times New Roman" w:eastAsia="ＭＳ Ｐ明朝" w:hAnsi="Times New Roman"/>
          <w:sz w:val="20"/>
          <w:szCs w:val="21"/>
          <w:lang w:eastAsia="ja-JP"/>
        </w:rPr>
        <w:t xml:space="preserve"> </w:t>
      </w:r>
    </w:p>
    <w:p w14:paraId="063F3DFA" w14:textId="77777777" w:rsidR="00156C9E" w:rsidRPr="00F46EF2" w:rsidRDefault="00156C9E">
      <w:pPr>
        <w:pStyle w:val="a3"/>
        <w:rPr>
          <w:rFonts w:ascii="Times New Roman" w:eastAsia="ＭＳ Ｐ明朝" w:hAnsi="Times New Roman"/>
          <w:sz w:val="20"/>
          <w:szCs w:val="21"/>
          <w:lang w:eastAsia="ja-JP"/>
        </w:rPr>
      </w:pPr>
    </w:p>
    <w:p w14:paraId="13D788D6" w14:textId="77777777" w:rsidR="00FF745D" w:rsidRPr="00F46EF2" w:rsidRDefault="00000000">
      <w:pPr>
        <w:pStyle w:val="NbrHeading4"/>
        <w:rPr>
          <w:rFonts w:ascii="Times New Roman" w:eastAsia="ＭＳ Ｐ明朝" w:hAnsi="Times New Roman"/>
          <w:sz w:val="20"/>
          <w:szCs w:val="21"/>
        </w:rPr>
      </w:pPr>
      <w:proofErr w:type="spellStart"/>
      <w:r w:rsidRPr="00F46EF2">
        <w:rPr>
          <w:rFonts w:ascii="Times New Roman" w:eastAsia="ＭＳ Ｐ明朝" w:hAnsi="Times New Roman"/>
          <w:sz w:val="20"/>
          <w:szCs w:val="21"/>
        </w:rPr>
        <w:t>コンパレータの選択</w:t>
      </w:r>
      <w:proofErr w:type="spellEnd"/>
    </w:p>
    <w:p w14:paraId="4EA92AF8"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は基本的に比較評価である：</w:t>
      </w:r>
      <w:r w:rsidR="00574797" w:rsidRPr="00F46EF2">
        <w:rPr>
          <w:rFonts w:ascii="Times New Roman" w:eastAsia="ＭＳ Ｐ明朝" w:hAnsi="Times New Roman"/>
          <w:sz w:val="20"/>
          <w:szCs w:val="21"/>
          <w:lang w:eastAsia="ja-JP"/>
        </w:rPr>
        <w:t>医療技術が患者の健康に与える影響を評価するためには、その技術を既存の技術と比較しなければならない。比較対象の選択は、コストとアウトカムの比較評価に</w:t>
      </w:r>
      <w:r w:rsidR="009169C1" w:rsidRPr="00F46EF2">
        <w:rPr>
          <w:rFonts w:ascii="Times New Roman" w:eastAsia="ＭＳ Ｐ明朝" w:hAnsi="Times New Roman"/>
          <w:sz w:val="20"/>
          <w:szCs w:val="21"/>
          <w:lang w:eastAsia="ja-JP"/>
        </w:rPr>
        <w:t>影響する</w:t>
      </w:r>
      <w:r w:rsidR="00574797" w:rsidRPr="00F46EF2">
        <w:rPr>
          <w:rFonts w:ascii="Times New Roman" w:eastAsia="ＭＳ Ｐ明朝" w:hAnsi="Times New Roman"/>
          <w:sz w:val="20"/>
          <w:szCs w:val="21"/>
          <w:lang w:eastAsia="ja-JP"/>
        </w:rPr>
        <w:t>ため、ある</w:t>
      </w:r>
      <w:r w:rsidR="00574797" w:rsidRPr="00F46EF2">
        <w:rPr>
          <w:rFonts w:ascii="Times New Roman" w:eastAsia="ＭＳ Ｐ明朝" w:hAnsi="Times New Roman"/>
          <w:sz w:val="20"/>
          <w:szCs w:val="21"/>
          <w:lang w:eastAsia="ja-JP"/>
        </w:rPr>
        <w:lastRenderedPageBreak/>
        <w:t>技術に対する主張</w:t>
      </w:r>
      <w:r w:rsidR="009169C1" w:rsidRPr="00F46EF2">
        <w:rPr>
          <w:rFonts w:ascii="Times New Roman" w:eastAsia="ＭＳ Ｐ明朝" w:hAnsi="Times New Roman"/>
          <w:sz w:val="20"/>
          <w:szCs w:val="21"/>
          <w:lang w:eastAsia="ja-JP"/>
        </w:rPr>
        <w:t>（例えば、より高い価格を正当化する、より優れた臨床結果）は、</w:t>
      </w:r>
      <w:r w:rsidR="00574797" w:rsidRPr="00F46EF2">
        <w:rPr>
          <w:rFonts w:ascii="Times New Roman" w:eastAsia="ＭＳ Ｐ明朝" w:hAnsi="Times New Roman"/>
          <w:sz w:val="20"/>
          <w:szCs w:val="21"/>
          <w:lang w:eastAsia="ja-JP"/>
        </w:rPr>
        <w:t>候補となる比較対象や提示されるエビデンスの種類によって異なる。</w:t>
      </w:r>
    </w:p>
    <w:p w14:paraId="4AE252E5" w14:textId="77777777" w:rsidR="00FF745D" w:rsidRPr="00F46EF2" w:rsidRDefault="00000000">
      <w:pPr>
        <w:pStyle w:val="a3"/>
        <w:rPr>
          <w:rFonts w:ascii="Times New Roman" w:eastAsia="ＭＳ Ｐ明朝" w:hAnsi="Times New Roman"/>
          <w:sz w:val="20"/>
          <w:szCs w:val="21"/>
        </w:rPr>
      </w:pPr>
      <w:r w:rsidRPr="00F46EF2">
        <w:rPr>
          <w:rFonts w:ascii="Times New Roman" w:eastAsia="ＭＳ Ｐ明朝" w:hAnsi="Times New Roman"/>
          <w:sz w:val="20"/>
          <w:szCs w:val="21"/>
          <w:lang w:eastAsia="ja-JP"/>
        </w:rPr>
        <w:t>オーストラリアでは、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ガイドラインで推奨されている比較対象は、新しい介入の導入に伴い最も置き換えられる可能性の高い代替薬である。</w:t>
      </w:r>
      <w:r w:rsidRPr="00F46EF2">
        <w:rPr>
          <w:rFonts w:ascii="Times New Roman" w:eastAsia="ＭＳ Ｐ明朝" w:hAnsi="Times New Roman"/>
          <w:sz w:val="20"/>
          <w:szCs w:val="21"/>
        </w:rPr>
        <w:t>イングランドとウェールズの</w:t>
      </w:r>
      <w:r w:rsidRPr="00F46EF2">
        <w:rPr>
          <w:rFonts w:ascii="Times New Roman" w:eastAsia="ＭＳ Ｐ明朝" w:hAnsi="Times New Roman"/>
          <w:sz w:val="20"/>
          <w:szCs w:val="21"/>
        </w:rPr>
        <w:t xml:space="preserve">National Institute for Health and Care </w:t>
      </w:r>
      <w:proofErr w:type="spellStart"/>
      <w:r w:rsidRPr="00F46EF2">
        <w:rPr>
          <w:rFonts w:ascii="Times New Roman" w:eastAsia="ＭＳ Ｐ明朝" w:hAnsi="Times New Roman"/>
          <w:sz w:val="20"/>
          <w:szCs w:val="21"/>
        </w:rPr>
        <w:t>Excellence</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NICE</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スコットランドの</w:t>
      </w:r>
      <w:r w:rsidRPr="00F46EF2">
        <w:rPr>
          <w:rFonts w:ascii="Times New Roman" w:eastAsia="ＭＳ Ｐ明朝" w:hAnsi="Times New Roman"/>
          <w:sz w:val="20"/>
          <w:szCs w:val="21"/>
        </w:rPr>
        <w:t>Scottish</w:t>
      </w:r>
      <w:proofErr w:type="spellEnd"/>
      <w:r w:rsidRPr="00F46EF2">
        <w:rPr>
          <w:rFonts w:ascii="Times New Roman" w:eastAsia="ＭＳ Ｐ明朝" w:hAnsi="Times New Roman"/>
          <w:sz w:val="20"/>
          <w:szCs w:val="21"/>
        </w:rPr>
        <w:t xml:space="preserve"> Medicines </w:t>
      </w:r>
      <w:proofErr w:type="spellStart"/>
      <w:r w:rsidRPr="00F46EF2">
        <w:rPr>
          <w:rFonts w:ascii="Times New Roman" w:eastAsia="ＭＳ Ｐ明朝" w:hAnsi="Times New Roman"/>
          <w:sz w:val="20"/>
          <w:szCs w:val="21"/>
        </w:rPr>
        <w:t>Consortium</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SMC</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カナダの</w:t>
      </w:r>
      <w:r w:rsidRPr="00F46EF2">
        <w:rPr>
          <w:rFonts w:ascii="Times New Roman" w:eastAsia="ＭＳ Ｐ明朝" w:hAnsi="Times New Roman"/>
          <w:sz w:val="20"/>
          <w:szCs w:val="21"/>
        </w:rPr>
        <w:t>Canadian</w:t>
      </w:r>
      <w:proofErr w:type="spellEnd"/>
      <w:r w:rsidRPr="00F46EF2">
        <w:rPr>
          <w:rFonts w:ascii="Times New Roman" w:eastAsia="ＭＳ Ｐ明朝" w:hAnsi="Times New Roman"/>
          <w:sz w:val="20"/>
          <w:szCs w:val="21"/>
        </w:rPr>
        <w:t xml:space="preserve"> Agency for Drugs and Technologies in </w:t>
      </w:r>
      <w:proofErr w:type="spellStart"/>
      <w:r w:rsidRPr="00F46EF2">
        <w:rPr>
          <w:rFonts w:ascii="Times New Roman" w:eastAsia="ＭＳ Ｐ明朝" w:hAnsi="Times New Roman"/>
          <w:sz w:val="20"/>
          <w:szCs w:val="21"/>
        </w:rPr>
        <w:t>Health</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CADTH</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ニュージーランドの</w:t>
      </w:r>
      <w:r w:rsidRPr="00F46EF2">
        <w:rPr>
          <w:rFonts w:ascii="Times New Roman" w:eastAsia="ＭＳ Ｐ明朝" w:hAnsi="Times New Roman"/>
          <w:sz w:val="20"/>
          <w:szCs w:val="21"/>
        </w:rPr>
        <w:t>Pharmaceutical</w:t>
      </w:r>
      <w:proofErr w:type="spellEnd"/>
      <w:r w:rsidRPr="00F46EF2">
        <w:rPr>
          <w:rFonts w:ascii="Times New Roman" w:eastAsia="ＭＳ Ｐ明朝" w:hAnsi="Times New Roman"/>
          <w:sz w:val="20"/>
          <w:szCs w:val="21"/>
        </w:rPr>
        <w:t xml:space="preserve"> Management </w:t>
      </w:r>
      <w:proofErr w:type="spellStart"/>
      <w:r w:rsidRPr="00F46EF2">
        <w:rPr>
          <w:rFonts w:ascii="Times New Roman" w:eastAsia="ＭＳ Ｐ明朝" w:hAnsi="Times New Roman"/>
          <w:sz w:val="20"/>
          <w:szCs w:val="21"/>
        </w:rPr>
        <w:t>Agency</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PHARMAC</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ノルウェーの</w:t>
      </w:r>
      <w:r w:rsidRPr="00F46EF2">
        <w:rPr>
          <w:rFonts w:ascii="Times New Roman" w:eastAsia="ＭＳ Ｐ明朝" w:hAnsi="Times New Roman"/>
          <w:sz w:val="20"/>
          <w:szCs w:val="21"/>
        </w:rPr>
        <w:t>Norwegian</w:t>
      </w:r>
      <w:proofErr w:type="spellEnd"/>
      <w:r w:rsidRPr="00F46EF2">
        <w:rPr>
          <w:rFonts w:ascii="Times New Roman" w:eastAsia="ＭＳ Ｐ明朝" w:hAnsi="Times New Roman"/>
          <w:sz w:val="20"/>
          <w:szCs w:val="21"/>
        </w:rPr>
        <w:t xml:space="preserve"> Medicines </w:t>
      </w:r>
      <w:proofErr w:type="spellStart"/>
      <w:r w:rsidRPr="00F46EF2">
        <w:rPr>
          <w:rFonts w:ascii="Times New Roman" w:eastAsia="ＭＳ Ｐ明朝" w:hAnsi="Times New Roman"/>
          <w:sz w:val="20"/>
          <w:szCs w:val="21"/>
        </w:rPr>
        <w:t>Agency</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NoMA</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日本の</w:t>
      </w:r>
      <w:r w:rsidRPr="00F46EF2">
        <w:rPr>
          <w:rFonts w:ascii="Times New Roman" w:eastAsia="ＭＳ Ｐ明朝" w:hAnsi="Times New Roman"/>
          <w:sz w:val="20"/>
          <w:szCs w:val="21"/>
        </w:rPr>
        <w:t>Center</w:t>
      </w:r>
      <w:proofErr w:type="spellEnd"/>
      <w:r w:rsidRPr="00F46EF2">
        <w:rPr>
          <w:rFonts w:ascii="Times New Roman" w:eastAsia="ＭＳ Ｐ明朝" w:hAnsi="Times New Roman"/>
          <w:sz w:val="20"/>
          <w:szCs w:val="21"/>
        </w:rPr>
        <w:t xml:space="preserve"> For Outcomes Research And Economic Evaluation For Health</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C2H</w:t>
      </w:r>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シンガポールの</w:t>
      </w:r>
      <w:r w:rsidRPr="00F46EF2">
        <w:rPr>
          <w:rFonts w:ascii="Times New Roman" w:eastAsia="ＭＳ Ｐ明朝" w:hAnsi="Times New Roman"/>
          <w:sz w:val="20"/>
          <w:szCs w:val="21"/>
        </w:rPr>
        <w:t>Ace</w:t>
      </w:r>
      <w:proofErr w:type="spellEnd"/>
      <w:r w:rsidRPr="00F46EF2">
        <w:rPr>
          <w:rFonts w:ascii="Times New Roman" w:eastAsia="ＭＳ Ｐ明朝" w:hAnsi="Times New Roman"/>
          <w:sz w:val="20"/>
          <w:szCs w:val="21"/>
        </w:rPr>
        <w:t xml:space="preserve"> for Care </w:t>
      </w:r>
      <w:proofErr w:type="spellStart"/>
      <w:r w:rsidRPr="00F46EF2">
        <w:rPr>
          <w:rFonts w:ascii="Times New Roman" w:eastAsia="ＭＳ Ｐ明朝" w:hAnsi="Times New Roman"/>
          <w:sz w:val="20"/>
          <w:szCs w:val="21"/>
        </w:rPr>
        <w:t>Effectiveness</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ACE</w:t>
      </w:r>
      <w:proofErr w:type="spellEnd"/>
      <w:r w:rsidRPr="00F46EF2">
        <w:rPr>
          <w:rFonts w:ascii="Times New Roman" w:eastAsia="ＭＳ Ｐ明朝" w:hAnsi="Times New Roman"/>
          <w:sz w:val="20"/>
          <w:szCs w:val="21"/>
        </w:rPr>
        <w:t>）、</w:t>
      </w:r>
      <w:proofErr w:type="spellStart"/>
      <w:r w:rsidRPr="00F46EF2">
        <w:rPr>
          <w:rFonts w:ascii="Times New Roman" w:eastAsia="ＭＳ Ｐ明朝" w:hAnsi="Times New Roman"/>
          <w:sz w:val="20"/>
          <w:szCs w:val="21"/>
        </w:rPr>
        <w:t>台湾の</w:t>
      </w:r>
      <w:r w:rsidRPr="00F46EF2">
        <w:rPr>
          <w:rFonts w:ascii="Times New Roman" w:eastAsia="ＭＳ Ｐ明朝" w:hAnsi="Times New Roman"/>
          <w:sz w:val="20"/>
          <w:szCs w:val="21"/>
        </w:rPr>
        <w:t>Center</w:t>
      </w:r>
      <w:proofErr w:type="spellEnd"/>
      <w:r w:rsidRPr="00F46EF2">
        <w:rPr>
          <w:rFonts w:ascii="Times New Roman" w:eastAsia="ＭＳ Ｐ明朝" w:hAnsi="Times New Roman"/>
          <w:sz w:val="20"/>
          <w:szCs w:val="21"/>
        </w:rPr>
        <w:t xml:space="preserve"> for Drug </w:t>
      </w:r>
      <w:proofErr w:type="spellStart"/>
      <w:r w:rsidRPr="00F46EF2">
        <w:rPr>
          <w:rFonts w:ascii="Times New Roman" w:eastAsia="ＭＳ Ｐ明朝" w:hAnsi="Times New Roman"/>
          <w:sz w:val="20"/>
          <w:szCs w:val="21"/>
        </w:rPr>
        <w:t>Evaluation</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CDE</w:t>
      </w:r>
      <w:r w:rsidRPr="00F46EF2">
        <w:rPr>
          <w:rFonts w:ascii="Times New Roman" w:eastAsia="ＭＳ Ｐ明朝" w:hAnsi="Times New Roman"/>
          <w:sz w:val="20"/>
          <w:szCs w:val="21"/>
        </w:rPr>
        <w:t>）でも同じコンパレータが推奨されている</w:t>
      </w:r>
      <w:proofErr w:type="spellEnd"/>
      <w:r w:rsidR="00D62FA0" w:rsidRPr="00F46EF2">
        <w:rPr>
          <w:rFonts w:ascii="Times New Roman" w:eastAsia="ＭＳ Ｐ明朝" w:hAnsi="Times New Roman"/>
          <w:sz w:val="20"/>
          <w:szCs w:val="21"/>
        </w:rPr>
        <w:t>。</w:t>
      </w:r>
      <w:r w:rsidR="00D62FA0" w:rsidRPr="00F46EF2">
        <w:rPr>
          <w:rFonts w:ascii="Times New Roman" w:eastAsia="ＭＳ Ｐ明朝" w:hAnsi="Times New Roman"/>
          <w:sz w:val="20"/>
          <w:szCs w:val="21"/>
        </w:rPr>
        <w:t xml:space="preserve"> </w:t>
      </w:r>
    </w:p>
    <w:p w14:paraId="6792FD1F" w14:textId="77777777" w:rsidR="00FF745D" w:rsidRDefault="00000000">
      <w:pPr>
        <w:pStyle w:val="a3"/>
        <w:rPr>
          <w:rFonts w:ascii="Times New Roman" w:eastAsia="ＭＳ Ｐ明朝" w:hAnsi="Times New Roman"/>
          <w:sz w:val="20"/>
          <w:szCs w:val="21"/>
          <w:lang w:eastAsia="ja-JP"/>
        </w:rPr>
      </w:pPr>
      <w:bookmarkStart w:id="9" w:name="_Hlk149028916"/>
      <w:proofErr w:type="spellStart"/>
      <w:r w:rsidRPr="00F46EF2">
        <w:rPr>
          <w:rFonts w:ascii="Times New Roman" w:eastAsia="ＭＳ Ｐ明朝" w:hAnsi="Times New Roman"/>
          <w:sz w:val="20"/>
          <w:szCs w:val="21"/>
          <w:lang w:eastAsia="ja-JP"/>
        </w:rPr>
        <w:t>しかし、</w:t>
      </w:r>
      <w:r w:rsidR="00CE6ED0" w:rsidRPr="00F46EF2">
        <w:rPr>
          <w:rFonts w:ascii="Times New Roman" w:eastAsia="ＭＳ Ｐ明朝" w:hAnsi="Times New Roman"/>
          <w:sz w:val="20"/>
          <w:szCs w:val="21"/>
          <w:lang w:eastAsia="ja-JP"/>
        </w:rPr>
        <w:t>オーストラリアでは、要求されたリストが代替療法よりも高額である場合</w:t>
      </w:r>
      <w:proofErr w:type="spellEnd"/>
      <w:r w:rsidR="00CE6ED0" w:rsidRPr="00F46EF2">
        <w:rPr>
          <w:rFonts w:ascii="Times New Roman" w:eastAsia="ＭＳ Ｐ明朝" w:hAnsi="Times New Roman"/>
          <w:sz w:val="20"/>
          <w:szCs w:val="21"/>
          <w:lang w:eastAsia="ja-JP"/>
        </w:rPr>
        <w:t>、</w:t>
      </w:r>
      <w:r w:rsidR="00CE6ED0" w:rsidRPr="00F46EF2">
        <w:rPr>
          <w:rFonts w:ascii="Times New Roman" w:eastAsia="ＭＳ Ｐ明朝" w:hAnsi="Times New Roman"/>
          <w:iCs/>
          <w:sz w:val="20"/>
          <w:szCs w:val="21"/>
          <w:lang w:val="en-US" w:eastAsia="ja-JP"/>
        </w:rPr>
        <w:t>PBAC</w:t>
      </w:r>
      <w:r w:rsidR="00CE6ED0" w:rsidRPr="00F46EF2">
        <w:rPr>
          <w:rFonts w:ascii="Times New Roman" w:eastAsia="ＭＳ Ｐ明朝" w:hAnsi="Times New Roman"/>
          <w:iCs/>
          <w:sz w:val="20"/>
          <w:szCs w:val="21"/>
          <w:lang w:val="en-US" w:eastAsia="ja-JP"/>
        </w:rPr>
        <w:t>は、一部の患者に対して、その治療法が代替療法または治療法よりも有効性の有意な改善または毒性の軽減を</w:t>
      </w:r>
      <w:r w:rsidR="00C54462" w:rsidRPr="00F46EF2">
        <w:rPr>
          <w:rFonts w:ascii="Times New Roman" w:eastAsia="ＭＳ Ｐ明朝" w:hAnsi="Times New Roman"/>
          <w:iCs/>
          <w:sz w:val="20"/>
          <w:szCs w:val="21"/>
          <w:lang w:val="en-US" w:eastAsia="ja-JP"/>
        </w:rPr>
        <w:t>もたらすと</w:t>
      </w:r>
      <w:r w:rsidR="00CE6ED0" w:rsidRPr="00F46EF2">
        <w:rPr>
          <w:rFonts w:ascii="Times New Roman" w:eastAsia="ＭＳ Ｐ明朝" w:hAnsi="Times New Roman"/>
          <w:iCs/>
          <w:sz w:val="20"/>
          <w:szCs w:val="21"/>
          <w:lang w:val="en-US" w:eastAsia="ja-JP"/>
        </w:rPr>
        <w:t>納得した場合にのみ、推奨することができる（</w:t>
      </w:r>
      <w:r w:rsidR="00CE6ED0" w:rsidRPr="00F46EF2">
        <w:rPr>
          <w:rFonts w:ascii="Times New Roman" w:eastAsia="ＭＳ Ｐ明朝" w:hAnsi="Times New Roman"/>
          <w:i/>
          <w:iCs/>
          <w:sz w:val="20"/>
          <w:szCs w:val="21"/>
          <w:lang w:val="en-US" w:eastAsia="ja-JP"/>
        </w:rPr>
        <w:t>1953</w:t>
      </w:r>
      <w:r w:rsidR="00CE6ED0" w:rsidRPr="00F46EF2">
        <w:rPr>
          <w:rFonts w:ascii="Times New Roman" w:eastAsia="ＭＳ Ｐ明朝" w:hAnsi="Times New Roman"/>
          <w:i/>
          <w:iCs/>
          <w:sz w:val="20"/>
          <w:szCs w:val="21"/>
          <w:lang w:val="en-US" w:eastAsia="ja-JP"/>
        </w:rPr>
        <w:t>年国民保健法</w:t>
      </w:r>
      <w:r w:rsidR="00CE6ED0" w:rsidRPr="00F46EF2">
        <w:rPr>
          <w:rFonts w:ascii="Times New Roman" w:eastAsia="ＭＳ Ｐ明朝" w:hAnsi="Times New Roman"/>
          <w:iCs/>
          <w:sz w:val="20"/>
          <w:szCs w:val="21"/>
          <w:lang w:val="en-US" w:eastAsia="ja-JP"/>
        </w:rPr>
        <w:t>101</w:t>
      </w:r>
      <w:r w:rsidR="00CE6ED0" w:rsidRPr="00F46EF2">
        <w:rPr>
          <w:rFonts w:ascii="Times New Roman" w:eastAsia="ＭＳ Ｐ明朝" w:hAnsi="Times New Roman"/>
          <w:iCs/>
          <w:sz w:val="20"/>
          <w:szCs w:val="21"/>
          <w:lang w:val="en-US" w:eastAsia="ja-JP"/>
        </w:rPr>
        <w:t>条</w:t>
      </w:r>
      <w:r w:rsidR="00CE6ED0" w:rsidRPr="00F46EF2">
        <w:rPr>
          <w:rFonts w:ascii="Times New Roman" w:eastAsia="ＭＳ Ｐ明朝" w:hAnsi="Times New Roman"/>
          <w:iCs/>
          <w:sz w:val="20"/>
          <w:szCs w:val="21"/>
          <w:lang w:val="en-US" w:eastAsia="ja-JP"/>
        </w:rPr>
        <w:t>3B</w:t>
      </w:r>
      <w:r w:rsidR="00CE6ED0" w:rsidRPr="00F46EF2">
        <w:rPr>
          <w:rFonts w:ascii="Times New Roman" w:eastAsia="ＭＳ Ｐ明朝" w:hAnsi="Times New Roman"/>
          <w:iCs/>
          <w:sz w:val="20"/>
          <w:szCs w:val="21"/>
          <w:lang w:val="en-US" w:eastAsia="ja-JP"/>
        </w:rPr>
        <w:t>）。</w:t>
      </w:r>
      <w:proofErr w:type="spellStart"/>
      <w:r w:rsidR="00CE6ED0" w:rsidRPr="00F46EF2">
        <w:rPr>
          <w:rFonts w:ascii="Times New Roman" w:eastAsia="ＭＳ Ｐ明朝" w:hAnsi="Times New Roman"/>
          <w:sz w:val="20"/>
          <w:szCs w:val="21"/>
          <w:lang w:eastAsia="ja-JP"/>
        </w:rPr>
        <w:t>PBAC</w:t>
      </w:r>
      <w:r w:rsidR="00CE6ED0" w:rsidRPr="00F46EF2">
        <w:rPr>
          <w:rFonts w:ascii="Times New Roman" w:eastAsia="ＭＳ Ｐ明朝" w:hAnsi="Times New Roman"/>
          <w:sz w:val="20"/>
          <w:szCs w:val="21"/>
          <w:lang w:eastAsia="ja-JP"/>
        </w:rPr>
        <w:t>は、その勧告において、この条件が満たされていることを納得させる声明を出さなければならない</w:t>
      </w:r>
      <w:proofErr w:type="spellEnd"/>
      <w:r w:rsidR="00CE6ED0" w:rsidRPr="00F46EF2">
        <w:rPr>
          <w:rFonts w:ascii="Times New Roman" w:eastAsia="ＭＳ Ｐ明朝" w:hAnsi="Times New Roman"/>
          <w:iCs/>
          <w:sz w:val="20"/>
          <w:szCs w:val="21"/>
          <w:lang w:val="en-US" w:eastAsia="ja-JP"/>
        </w:rPr>
        <w:t>。</w:t>
      </w:r>
      <w:proofErr w:type="spellStart"/>
      <w:r w:rsidR="00CE6ED0" w:rsidRPr="00F46EF2">
        <w:rPr>
          <w:rFonts w:ascii="Times New Roman" w:eastAsia="ＭＳ Ｐ明朝" w:hAnsi="Times New Roman"/>
          <w:iCs/>
          <w:sz w:val="20"/>
          <w:szCs w:val="21"/>
          <w:lang w:val="en-US" w:eastAsia="ja-JP"/>
        </w:rPr>
        <w:t>実際には</w:t>
      </w:r>
      <w:proofErr w:type="spellEnd"/>
      <w:r w:rsidR="00CE6ED0" w:rsidRPr="00F46EF2">
        <w:rPr>
          <w:rFonts w:ascii="Times New Roman" w:eastAsia="ＭＳ Ｐ明朝" w:hAnsi="Times New Roman"/>
          <w:iCs/>
          <w:sz w:val="20"/>
          <w:szCs w:val="21"/>
          <w:lang w:val="en-US" w:eastAsia="ja-JP"/>
        </w:rPr>
        <w:t>、</w:t>
      </w:r>
      <w:proofErr w:type="spellStart"/>
      <w:r w:rsidR="00CE6ED0" w:rsidRPr="00F46EF2">
        <w:rPr>
          <w:rFonts w:ascii="Times New Roman" w:eastAsia="ＭＳ Ｐ明朝" w:hAnsi="Times New Roman"/>
          <w:sz w:val="20"/>
          <w:szCs w:val="21"/>
          <w:lang w:eastAsia="ja-JP"/>
        </w:rPr>
        <w:t>最も代替される可能性の高い治療法ではない代替療法が、価格設定のための</w:t>
      </w:r>
      <w:r w:rsidRPr="00F46EF2">
        <w:rPr>
          <w:rFonts w:ascii="Times New Roman" w:eastAsia="ＭＳ Ｐ明朝" w:hAnsi="Times New Roman"/>
          <w:sz w:val="20"/>
          <w:szCs w:val="21"/>
          <w:lang w:eastAsia="ja-JP"/>
        </w:rPr>
        <w:t>評価に</w:t>
      </w:r>
      <w:r w:rsidR="00CE6ED0" w:rsidRPr="00F46EF2">
        <w:rPr>
          <w:rFonts w:ascii="Times New Roman" w:eastAsia="ＭＳ Ｐ明朝" w:hAnsi="Times New Roman"/>
          <w:sz w:val="20"/>
          <w:szCs w:val="21"/>
          <w:lang w:eastAsia="ja-JP"/>
        </w:rPr>
        <w:t>関連する可能性があることを意味する</w:t>
      </w:r>
      <w:proofErr w:type="spellEnd"/>
      <w:r w:rsidR="00CE6ED0" w:rsidRPr="00F46EF2">
        <w:rPr>
          <w:rFonts w:ascii="Times New Roman" w:eastAsia="ＭＳ Ｐ明朝" w:hAnsi="Times New Roman"/>
          <w:sz w:val="20"/>
          <w:szCs w:val="21"/>
          <w:lang w:eastAsia="ja-JP"/>
        </w:rPr>
        <w:t>。</w:t>
      </w:r>
      <w:r w:rsidR="00CE6ED0" w:rsidRPr="00F46EF2">
        <w:rPr>
          <w:rFonts w:ascii="Times New Roman" w:eastAsia="ＭＳ Ｐ明朝" w:hAnsi="Times New Roman"/>
          <w:sz w:val="20"/>
          <w:szCs w:val="21"/>
          <w:lang w:eastAsia="ja-JP"/>
        </w:rPr>
        <w:t xml:space="preserve"> </w:t>
      </w:r>
      <w:bookmarkStart w:id="10" w:name="_Hlk148690705"/>
      <w:bookmarkEnd w:id="9"/>
      <w:r w:rsidR="00D62FA0" w:rsidRPr="00F46EF2">
        <w:rPr>
          <w:rFonts w:ascii="Times New Roman" w:eastAsia="ＭＳ Ｐ明朝" w:hAnsi="Times New Roman"/>
          <w:sz w:val="20"/>
          <w:szCs w:val="21"/>
          <w:lang w:eastAsia="ja-JP"/>
        </w:rPr>
        <w:t xml:space="preserve"> </w:t>
      </w:r>
      <w:bookmarkEnd w:id="10"/>
    </w:p>
    <w:p w14:paraId="09C19656" w14:textId="77777777" w:rsidR="00156C9E" w:rsidRPr="00F46EF2" w:rsidRDefault="00156C9E">
      <w:pPr>
        <w:pStyle w:val="a3"/>
        <w:rPr>
          <w:rFonts w:ascii="Times New Roman" w:eastAsia="ＭＳ Ｐ明朝" w:hAnsi="Times New Roman"/>
          <w:sz w:val="20"/>
          <w:szCs w:val="21"/>
          <w:lang w:eastAsia="ja-JP"/>
        </w:rPr>
      </w:pPr>
    </w:p>
    <w:p w14:paraId="0D05779D" w14:textId="77777777" w:rsidR="00FF745D" w:rsidRPr="00F46EF2" w:rsidRDefault="0064555B">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法域を</w:t>
      </w:r>
      <w:r w:rsidR="00000000" w:rsidRPr="00F46EF2">
        <w:rPr>
          <w:rFonts w:ascii="Times New Roman" w:eastAsia="ＭＳ Ｐ明朝" w:hAnsi="Times New Roman"/>
          <w:sz w:val="20"/>
          <w:szCs w:val="21"/>
          <w:lang w:eastAsia="ja-JP"/>
        </w:rPr>
        <w:t>超えた経済評価への</w:t>
      </w:r>
      <w:r w:rsidR="00000000" w:rsidRPr="00F46EF2">
        <w:rPr>
          <w:rFonts w:ascii="Times New Roman" w:eastAsia="ＭＳ Ｐ明朝" w:hAnsi="Times New Roman"/>
          <w:sz w:val="20"/>
          <w:szCs w:val="21"/>
          <w:lang w:eastAsia="ja-JP"/>
        </w:rPr>
        <w:t>HTA</w:t>
      </w:r>
      <w:r w:rsidR="00000000" w:rsidRPr="00F46EF2">
        <w:rPr>
          <w:rFonts w:ascii="Times New Roman" w:eastAsia="ＭＳ Ｐ明朝" w:hAnsi="Times New Roman"/>
          <w:sz w:val="20"/>
          <w:szCs w:val="21"/>
          <w:lang w:eastAsia="ja-JP"/>
        </w:rPr>
        <w:t>アプローチ</w:t>
      </w:r>
      <w:proofErr w:type="spellEnd"/>
    </w:p>
    <w:p w14:paraId="25CA8459" w14:textId="6C0A1ACB" w:rsidR="00FF745D" w:rsidRDefault="00F008AE">
      <w:pPr>
        <w:pStyle w:val="a3"/>
        <w:rPr>
          <w:rFonts w:ascii="Times New Roman" w:eastAsia="ＭＳ Ｐ明朝" w:hAnsi="Times New Roman"/>
          <w:sz w:val="20"/>
          <w:szCs w:val="21"/>
        </w:rPr>
      </w:pPr>
      <w:proofErr w:type="spellStart"/>
      <w:r w:rsidRPr="00F46EF2">
        <w:rPr>
          <w:rFonts w:ascii="Times New Roman" w:eastAsia="ＭＳ Ｐ明朝" w:hAnsi="Times New Roman"/>
          <w:sz w:val="20"/>
          <w:szCs w:val="21"/>
          <w:lang w:eastAsia="ja-JP"/>
        </w:rPr>
        <w:t>選択された</w:t>
      </w:r>
      <w:r w:rsidRPr="00F46EF2">
        <w:rPr>
          <w:rFonts w:ascii="Times New Roman" w:eastAsia="ＭＳ Ｐ明朝" w:hAnsi="Times New Roman"/>
          <w:sz w:val="20"/>
          <w:szCs w:val="21"/>
          <w:lang w:eastAsia="ja-JP"/>
        </w:rPr>
        <w:t>HTA</w:t>
      </w:r>
      <w:r w:rsidR="00000000" w:rsidRPr="00F46EF2">
        <w:rPr>
          <w:rFonts w:ascii="Times New Roman" w:eastAsia="ＭＳ Ｐ明朝" w:hAnsi="Times New Roman"/>
          <w:sz w:val="20"/>
          <w:szCs w:val="21"/>
          <w:lang w:eastAsia="ja-JP"/>
        </w:rPr>
        <w:t>機関のガイドラインで議論されている経済評価のアプローチの要約を以下に</w:t>
      </w:r>
      <w:r w:rsidRPr="00F46EF2">
        <w:rPr>
          <w:rFonts w:ascii="Times New Roman" w:eastAsia="ＭＳ Ｐ明朝" w:hAnsi="Times New Roman"/>
          <w:sz w:val="20"/>
          <w:szCs w:val="21"/>
          <w:lang w:eastAsia="ja-JP"/>
        </w:rPr>
        <w:t>示す</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p>
    <w:p w14:paraId="1A754AFA" w14:textId="77777777" w:rsidR="00F46EF2" w:rsidRPr="00F46EF2" w:rsidRDefault="00F46EF2">
      <w:pPr>
        <w:pStyle w:val="a3"/>
        <w:rPr>
          <w:rFonts w:ascii="Times New Roman" w:eastAsia="ＭＳ Ｐ明朝" w:hAnsi="Times New Roman"/>
          <w:sz w:val="20"/>
          <w:szCs w:val="21"/>
          <w:lang w:eastAsia="ja-JP"/>
        </w:rPr>
      </w:pPr>
    </w:p>
    <w:p w14:paraId="01F2870E" w14:textId="77777777" w:rsidR="00F46EF2" w:rsidRDefault="00F46EF2" w:rsidP="00F46EF2">
      <w:pPr>
        <w:pStyle w:val="af8"/>
      </w:pPr>
      <w:bookmarkStart w:id="11" w:name="_Ref146368690"/>
      <w:r w:rsidRPr="00604109">
        <w:t xml:space="preserve">Table </w:t>
      </w:r>
      <w:r>
        <w:fldChar w:fldCharType="begin"/>
      </w:r>
      <w:r>
        <w:instrText xml:space="preserve"> SEQ Table \* ARABIC </w:instrText>
      </w:r>
      <w:r>
        <w:fldChar w:fldCharType="separate"/>
      </w:r>
      <w:r>
        <w:rPr>
          <w:noProof/>
        </w:rPr>
        <w:t>1</w:t>
      </w:r>
      <w:r>
        <w:rPr>
          <w:noProof/>
        </w:rPr>
        <w:fldChar w:fldCharType="end"/>
      </w:r>
      <w:bookmarkEnd w:id="11"/>
      <w:r w:rsidRPr="00604109">
        <w:tab/>
        <w:t xml:space="preserve">Summary </w:t>
      </w:r>
      <w:r>
        <w:t xml:space="preserve">of </w:t>
      </w:r>
      <w:r w:rsidRPr="00604109">
        <w:t xml:space="preserve">preferred methods </w:t>
      </w:r>
      <w:r>
        <w:t xml:space="preserve">used for decision-making </w:t>
      </w:r>
      <w:r w:rsidRPr="00604109">
        <w:t>based on clinical claims across HTA agencies</w:t>
      </w:r>
    </w:p>
    <w:tbl>
      <w:tblPr>
        <w:tblStyle w:val="af2"/>
        <w:tblW w:w="5000" w:type="pct"/>
        <w:tblLook w:val="04A0" w:firstRow="1" w:lastRow="0" w:firstColumn="1" w:lastColumn="0" w:noHBand="0" w:noVBand="1"/>
        <w:tblCaption w:val="Summary of preferred methods used for decision-making based on clinical claims across HTA agencies "/>
      </w:tblPr>
      <w:tblGrid>
        <w:gridCol w:w="1480"/>
        <w:gridCol w:w="1223"/>
        <w:gridCol w:w="2125"/>
        <w:gridCol w:w="2540"/>
        <w:gridCol w:w="1692"/>
      </w:tblGrid>
      <w:tr w:rsidR="00F46EF2" w14:paraId="4CD04BEA" w14:textId="77777777" w:rsidTr="00634CA1">
        <w:trPr>
          <w:tblHeader/>
        </w:trPr>
        <w:tc>
          <w:tcPr>
            <w:tcW w:w="816" w:type="pct"/>
            <w:vMerge w:val="restart"/>
          </w:tcPr>
          <w:p w14:paraId="5033CE7F" w14:textId="77777777" w:rsidR="00F46EF2" w:rsidRDefault="00F46EF2" w:rsidP="00634CA1">
            <w:pPr>
              <w:pStyle w:val="TableHeading"/>
              <w:jc w:val="both"/>
            </w:pPr>
            <w:r>
              <w:t>Jurisdiction</w:t>
            </w:r>
          </w:p>
        </w:tc>
        <w:tc>
          <w:tcPr>
            <w:tcW w:w="675" w:type="pct"/>
            <w:vMerge w:val="restart"/>
          </w:tcPr>
          <w:p w14:paraId="6E85B0A2" w14:textId="77777777" w:rsidR="00F46EF2" w:rsidRDefault="00F46EF2" w:rsidP="00634CA1">
            <w:pPr>
              <w:pStyle w:val="TableHeading"/>
              <w:jc w:val="center"/>
            </w:pPr>
            <w:r>
              <w:t>Agency</w:t>
            </w:r>
          </w:p>
        </w:tc>
        <w:tc>
          <w:tcPr>
            <w:tcW w:w="2575" w:type="pct"/>
            <w:gridSpan w:val="2"/>
          </w:tcPr>
          <w:p w14:paraId="19D6272C" w14:textId="77777777" w:rsidR="00F46EF2" w:rsidRDefault="00F46EF2" w:rsidP="00634CA1">
            <w:pPr>
              <w:pStyle w:val="TableHeading"/>
              <w:jc w:val="center"/>
            </w:pPr>
            <w:r>
              <w:t>Claims: S</w:t>
            </w:r>
            <w:r w:rsidRPr="001D0AE8">
              <w:t>ubstantial improvement in efficacy or reduction in toxicity compared to</w:t>
            </w:r>
            <w:r>
              <w:t xml:space="preserve"> </w:t>
            </w:r>
            <w:r w:rsidRPr="001D0AE8">
              <w:t>alternatives</w:t>
            </w:r>
            <w:r>
              <w:t>?</w:t>
            </w:r>
          </w:p>
        </w:tc>
        <w:tc>
          <w:tcPr>
            <w:tcW w:w="934" w:type="pct"/>
            <w:vMerge w:val="restart"/>
          </w:tcPr>
          <w:p w14:paraId="47A98140" w14:textId="77777777" w:rsidR="00F46EF2" w:rsidRDefault="00F46EF2" w:rsidP="00634CA1">
            <w:pPr>
              <w:pStyle w:val="TableHeading"/>
              <w:jc w:val="center"/>
            </w:pPr>
            <w:r>
              <w:t>Use of cost-effectiveness thresholds</w:t>
            </w:r>
          </w:p>
        </w:tc>
      </w:tr>
      <w:tr w:rsidR="00F46EF2" w14:paraId="60369403" w14:textId="77777777" w:rsidTr="00634CA1">
        <w:trPr>
          <w:tblHeader/>
        </w:trPr>
        <w:tc>
          <w:tcPr>
            <w:tcW w:w="816" w:type="pct"/>
            <w:vMerge/>
          </w:tcPr>
          <w:p w14:paraId="6DFD3DC6" w14:textId="77777777" w:rsidR="00F46EF2" w:rsidRDefault="00F46EF2" w:rsidP="00634CA1"/>
        </w:tc>
        <w:tc>
          <w:tcPr>
            <w:tcW w:w="675" w:type="pct"/>
            <w:vMerge/>
          </w:tcPr>
          <w:p w14:paraId="2737D91B" w14:textId="77777777" w:rsidR="00F46EF2" w:rsidRDefault="00F46EF2" w:rsidP="00634CA1"/>
        </w:tc>
        <w:tc>
          <w:tcPr>
            <w:tcW w:w="1173" w:type="pct"/>
          </w:tcPr>
          <w:p w14:paraId="2490A42C" w14:textId="77777777" w:rsidR="00F46EF2" w:rsidRDefault="00F46EF2" w:rsidP="00634CA1">
            <w:pPr>
              <w:pStyle w:val="TableHeading"/>
              <w:jc w:val="center"/>
            </w:pPr>
            <w:r>
              <w:t>No claim</w:t>
            </w:r>
          </w:p>
        </w:tc>
        <w:tc>
          <w:tcPr>
            <w:tcW w:w="1402" w:type="pct"/>
          </w:tcPr>
          <w:p w14:paraId="5BF6EAC6" w14:textId="77777777" w:rsidR="00F46EF2" w:rsidRDefault="00F46EF2" w:rsidP="00634CA1">
            <w:pPr>
              <w:pStyle w:val="TableHeading"/>
              <w:jc w:val="center"/>
            </w:pPr>
            <w:r>
              <w:t>There is a claim</w:t>
            </w:r>
          </w:p>
        </w:tc>
        <w:tc>
          <w:tcPr>
            <w:tcW w:w="934" w:type="pct"/>
            <w:vMerge/>
          </w:tcPr>
          <w:p w14:paraId="2A999003" w14:textId="77777777" w:rsidR="00F46EF2" w:rsidRDefault="00F46EF2" w:rsidP="00634CA1"/>
        </w:tc>
      </w:tr>
      <w:tr w:rsidR="00F46EF2" w14:paraId="00A4BDEE" w14:textId="77777777" w:rsidTr="00634CA1">
        <w:tc>
          <w:tcPr>
            <w:tcW w:w="816" w:type="pct"/>
            <w:vAlign w:val="center"/>
          </w:tcPr>
          <w:p w14:paraId="28D91786" w14:textId="77777777" w:rsidR="00F46EF2" w:rsidRPr="00DF48A3" w:rsidRDefault="00F46EF2" w:rsidP="00634CA1">
            <w:r w:rsidRPr="00DF48A3">
              <w:t>Australia</w:t>
            </w:r>
          </w:p>
        </w:tc>
        <w:tc>
          <w:tcPr>
            <w:tcW w:w="675" w:type="pct"/>
            <w:vAlign w:val="center"/>
          </w:tcPr>
          <w:p w14:paraId="2B6840C1" w14:textId="77777777" w:rsidR="00F46EF2" w:rsidRPr="00DF48A3" w:rsidRDefault="00F46EF2" w:rsidP="00634CA1">
            <w:r>
              <w:t>PBAC and MSAC</w:t>
            </w:r>
            <w:r w:rsidRPr="00DF48A3">
              <w:t xml:space="preserve"> </w:t>
            </w:r>
          </w:p>
        </w:tc>
        <w:tc>
          <w:tcPr>
            <w:tcW w:w="1173" w:type="pct"/>
          </w:tcPr>
          <w:p w14:paraId="5988F41E" w14:textId="77777777" w:rsidR="00F46EF2" w:rsidRPr="00DF48A3" w:rsidRDefault="00F46EF2" w:rsidP="00634CA1">
            <w:r w:rsidRPr="00DF48A3">
              <w:t>CMA</w:t>
            </w:r>
            <w:r w:rsidRPr="00C7654A">
              <w:rPr>
                <w:vertAlign w:val="superscript"/>
              </w:rPr>
              <w:t xml:space="preserve"> a</w:t>
            </w:r>
          </w:p>
        </w:tc>
        <w:tc>
          <w:tcPr>
            <w:tcW w:w="1402" w:type="pct"/>
          </w:tcPr>
          <w:p w14:paraId="760A1217" w14:textId="77777777" w:rsidR="00F46EF2" w:rsidRDefault="00F46EF2" w:rsidP="00634CA1">
            <w:r w:rsidRPr="00DF48A3">
              <w:t>CUA</w:t>
            </w:r>
            <w:r>
              <w:t xml:space="preserve"> (preferred)</w:t>
            </w:r>
          </w:p>
          <w:p w14:paraId="7B64EB79" w14:textId="77777777" w:rsidR="00F46EF2" w:rsidRDefault="00F46EF2" w:rsidP="00634CA1">
            <w:r>
              <w:t>CEA</w:t>
            </w:r>
          </w:p>
          <w:p w14:paraId="69AA692E" w14:textId="77777777" w:rsidR="00F46EF2" w:rsidRPr="00DF48A3" w:rsidRDefault="00F46EF2" w:rsidP="00634CA1">
            <w:r w:rsidRPr="00DF48A3">
              <w:t>CCA</w:t>
            </w:r>
            <w:r>
              <w:t xml:space="preserve"> (supportive)</w:t>
            </w:r>
            <w:r w:rsidRPr="00C7654A">
              <w:rPr>
                <w:vertAlign w:val="superscript"/>
              </w:rPr>
              <w:t xml:space="preserve"> </w:t>
            </w:r>
            <w:r>
              <w:rPr>
                <w:vertAlign w:val="superscript"/>
              </w:rPr>
              <w:t>b</w:t>
            </w:r>
          </w:p>
        </w:tc>
        <w:tc>
          <w:tcPr>
            <w:tcW w:w="934" w:type="pct"/>
          </w:tcPr>
          <w:p w14:paraId="4991FD06" w14:textId="77777777" w:rsidR="00F46EF2" w:rsidRPr="00DF48A3" w:rsidRDefault="00F46EF2" w:rsidP="00634CA1">
            <w:r w:rsidRPr="00DF48A3">
              <w:t>No</w:t>
            </w:r>
          </w:p>
        </w:tc>
      </w:tr>
      <w:tr w:rsidR="00F46EF2" w14:paraId="0AC98464" w14:textId="77777777" w:rsidTr="00634CA1">
        <w:tc>
          <w:tcPr>
            <w:tcW w:w="816" w:type="pct"/>
            <w:vAlign w:val="center"/>
          </w:tcPr>
          <w:p w14:paraId="4B16F268" w14:textId="77777777" w:rsidR="00F46EF2" w:rsidRPr="00DF48A3" w:rsidRDefault="00F46EF2" w:rsidP="00634CA1">
            <w:r w:rsidRPr="00DF48A3">
              <w:t>England and Wales</w:t>
            </w:r>
          </w:p>
        </w:tc>
        <w:tc>
          <w:tcPr>
            <w:tcW w:w="675" w:type="pct"/>
            <w:vAlign w:val="center"/>
          </w:tcPr>
          <w:p w14:paraId="4A5E5A4C" w14:textId="77777777" w:rsidR="00F46EF2" w:rsidRPr="00CF4264" w:rsidRDefault="00F46EF2" w:rsidP="00634CA1">
            <w:r w:rsidRPr="00CF4264">
              <w:t>NICE</w:t>
            </w:r>
          </w:p>
        </w:tc>
        <w:tc>
          <w:tcPr>
            <w:tcW w:w="1173" w:type="pct"/>
          </w:tcPr>
          <w:p w14:paraId="20BAE4BC" w14:textId="77777777" w:rsidR="00F46EF2" w:rsidRPr="00CF4264" w:rsidRDefault="00F46EF2" w:rsidP="00634CA1">
            <w:r w:rsidRPr="00CF4264">
              <w:t xml:space="preserve">CMA/Cost comparison </w:t>
            </w:r>
          </w:p>
          <w:p w14:paraId="3CE5D2F1" w14:textId="77777777" w:rsidR="00F46EF2" w:rsidRPr="00CF4264" w:rsidRDefault="00F46EF2" w:rsidP="00634CA1">
            <w:r w:rsidRPr="00CF4264">
              <w:t>Faster process</w:t>
            </w:r>
          </w:p>
        </w:tc>
        <w:tc>
          <w:tcPr>
            <w:tcW w:w="1402" w:type="pct"/>
          </w:tcPr>
          <w:p w14:paraId="57DA4ECD" w14:textId="77777777" w:rsidR="00F46EF2" w:rsidRPr="00CF4264" w:rsidRDefault="00F46EF2" w:rsidP="00634CA1">
            <w:r w:rsidRPr="00CF4264">
              <w:t>CUA (preferred)</w:t>
            </w:r>
          </w:p>
          <w:p w14:paraId="6D0DF3D9" w14:textId="77777777" w:rsidR="00F46EF2" w:rsidRDefault="00F46EF2" w:rsidP="00634CA1">
            <w:r w:rsidRPr="00CF4264">
              <w:t>CEA</w:t>
            </w:r>
          </w:p>
          <w:p w14:paraId="4B50C2D1" w14:textId="77777777" w:rsidR="00F46EF2" w:rsidRPr="00CF4264" w:rsidRDefault="00F46EF2" w:rsidP="00634CA1">
            <w:r w:rsidRPr="00CF4264">
              <w:t>CCA (supportive)</w:t>
            </w:r>
            <w:r w:rsidRPr="00C7654A">
              <w:rPr>
                <w:vertAlign w:val="superscript"/>
              </w:rPr>
              <w:t xml:space="preserve"> </w:t>
            </w:r>
            <w:r>
              <w:rPr>
                <w:vertAlign w:val="superscript"/>
              </w:rPr>
              <w:t>b</w:t>
            </w:r>
          </w:p>
        </w:tc>
        <w:tc>
          <w:tcPr>
            <w:tcW w:w="934" w:type="pct"/>
          </w:tcPr>
          <w:p w14:paraId="744EB6D8" w14:textId="77777777" w:rsidR="00F46EF2" w:rsidRPr="00DF48A3" w:rsidRDefault="00F46EF2" w:rsidP="00634CA1">
            <w:r w:rsidRPr="00DF48A3">
              <w:t>Yes</w:t>
            </w:r>
          </w:p>
        </w:tc>
      </w:tr>
      <w:tr w:rsidR="00F46EF2" w14:paraId="5E7E9445" w14:textId="77777777" w:rsidTr="00634CA1">
        <w:tc>
          <w:tcPr>
            <w:tcW w:w="816" w:type="pct"/>
            <w:vAlign w:val="center"/>
          </w:tcPr>
          <w:p w14:paraId="6FE8B6FC" w14:textId="77777777" w:rsidR="00F46EF2" w:rsidRDefault="00F46EF2" w:rsidP="00634CA1">
            <w:r w:rsidRPr="00DF48A3">
              <w:t>Scotland</w:t>
            </w:r>
          </w:p>
        </w:tc>
        <w:tc>
          <w:tcPr>
            <w:tcW w:w="675" w:type="pct"/>
            <w:vAlign w:val="center"/>
          </w:tcPr>
          <w:p w14:paraId="4DC0C666" w14:textId="77777777" w:rsidR="00F46EF2" w:rsidRPr="00CF4264" w:rsidRDefault="00F46EF2" w:rsidP="00634CA1">
            <w:r w:rsidRPr="00CF4264">
              <w:t>SMC</w:t>
            </w:r>
          </w:p>
        </w:tc>
        <w:tc>
          <w:tcPr>
            <w:tcW w:w="1173" w:type="pct"/>
          </w:tcPr>
          <w:p w14:paraId="778823C6" w14:textId="77777777" w:rsidR="00F46EF2" w:rsidRPr="00CF4264" w:rsidRDefault="00F46EF2" w:rsidP="00634CA1">
            <w:r w:rsidRPr="00CF4264">
              <w:t>CMA</w:t>
            </w:r>
          </w:p>
          <w:p w14:paraId="3CD15246" w14:textId="77777777" w:rsidR="00F46EF2" w:rsidRPr="00CF4264" w:rsidRDefault="00F46EF2" w:rsidP="00634CA1">
            <w:r w:rsidRPr="00CF4264">
              <w:t>Faster process</w:t>
            </w:r>
          </w:p>
        </w:tc>
        <w:tc>
          <w:tcPr>
            <w:tcW w:w="1402" w:type="pct"/>
          </w:tcPr>
          <w:p w14:paraId="454E1E46" w14:textId="77777777" w:rsidR="00F46EF2" w:rsidRPr="00CF4264" w:rsidRDefault="00F46EF2" w:rsidP="00634CA1">
            <w:r w:rsidRPr="00CF4264">
              <w:t>CUA (preferred)</w:t>
            </w:r>
          </w:p>
          <w:p w14:paraId="60EC2AE9" w14:textId="77777777" w:rsidR="00F46EF2" w:rsidRDefault="00F46EF2" w:rsidP="00634CA1">
            <w:r w:rsidRPr="00CF4264">
              <w:t>CEA</w:t>
            </w:r>
          </w:p>
          <w:p w14:paraId="5F37116C" w14:textId="77777777" w:rsidR="00F46EF2" w:rsidRPr="00CF4264" w:rsidRDefault="00F46EF2" w:rsidP="00634CA1">
            <w:r w:rsidRPr="00CF4264">
              <w:lastRenderedPageBreak/>
              <w:t>CCA (supportive)</w:t>
            </w:r>
            <w:r w:rsidRPr="00C7654A">
              <w:rPr>
                <w:vertAlign w:val="superscript"/>
              </w:rPr>
              <w:t xml:space="preserve"> </w:t>
            </w:r>
            <w:r>
              <w:rPr>
                <w:vertAlign w:val="superscript"/>
              </w:rPr>
              <w:t>b</w:t>
            </w:r>
          </w:p>
        </w:tc>
        <w:tc>
          <w:tcPr>
            <w:tcW w:w="934" w:type="pct"/>
          </w:tcPr>
          <w:p w14:paraId="5EA441D6" w14:textId="77777777" w:rsidR="00F46EF2" w:rsidRPr="00DF48A3" w:rsidRDefault="00F46EF2" w:rsidP="00634CA1">
            <w:r w:rsidRPr="00DF48A3">
              <w:lastRenderedPageBreak/>
              <w:t>No</w:t>
            </w:r>
          </w:p>
        </w:tc>
      </w:tr>
      <w:tr w:rsidR="00F46EF2" w14:paraId="7E456A97" w14:textId="77777777" w:rsidTr="00634CA1">
        <w:tc>
          <w:tcPr>
            <w:tcW w:w="816" w:type="pct"/>
            <w:vAlign w:val="center"/>
          </w:tcPr>
          <w:p w14:paraId="390AF9A0" w14:textId="77777777" w:rsidR="00F46EF2" w:rsidRDefault="00F46EF2" w:rsidP="00634CA1">
            <w:r w:rsidRPr="00DF48A3">
              <w:t>Canada</w:t>
            </w:r>
          </w:p>
        </w:tc>
        <w:tc>
          <w:tcPr>
            <w:tcW w:w="675" w:type="pct"/>
            <w:vAlign w:val="center"/>
          </w:tcPr>
          <w:p w14:paraId="751751CD" w14:textId="77777777" w:rsidR="00F46EF2" w:rsidRDefault="00F46EF2" w:rsidP="00634CA1">
            <w:r w:rsidRPr="00DF48A3">
              <w:t>C</w:t>
            </w:r>
            <w:r>
              <w:t>ADTH</w:t>
            </w:r>
          </w:p>
        </w:tc>
        <w:tc>
          <w:tcPr>
            <w:tcW w:w="1173" w:type="pct"/>
          </w:tcPr>
          <w:p w14:paraId="1AAA2E25" w14:textId="77777777" w:rsidR="00F46EF2" w:rsidRDefault="00F46EF2" w:rsidP="00634CA1">
            <w:r>
              <w:t>CEA/CUA</w:t>
            </w:r>
          </w:p>
          <w:p w14:paraId="0DB900E9" w14:textId="77777777" w:rsidR="00F46EF2" w:rsidRPr="00DF48A3" w:rsidRDefault="00F46EF2" w:rsidP="00634CA1">
            <w:r>
              <w:t>CMA (supplementary</w:t>
            </w:r>
            <w:r>
              <w:rPr>
                <w:rFonts w:cstheme="minorHAnsi"/>
              </w:rPr>
              <w:t xml:space="preserve"> only where certain conditions are me</w:t>
            </w:r>
            <w:r w:rsidRPr="0042752D">
              <w:rPr>
                <w:rFonts w:cstheme="minorHAnsi"/>
              </w:rPr>
              <w:t>t</w:t>
            </w:r>
            <w:r>
              <w:t>)</w:t>
            </w:r>
          </w:p>
        </w:tc>
        <w:tc>
          <w:tcPr>
            <w:tcW w:w="1402" w:type="pct"/>
          </w:tcPr>
          <w:p w14:paraId="0D64985B" w14:textId="77777777" w:rsidR="00F46EF2" w:rsidRDefault="00F46EF2" w:rsidP="00634CA1">
            <w:r w:rsidRPr="00DF48A3">
              <w:t>CUA</w:t>
            </w:r>
            <w:r>
              <w:t xml:space="preserve"> (preferred)</w:t>
            </w:r>
          </w:p>
          <w:p w14:paraId="673586E4" w14:textId="77777777" w:rsidR="00F46EF2" w:rsidRPr="00DF48A3" w:rsidRDefault="00F46EF2" w:rsidP="00634CA1">
            <w:r>
              <w:t>CEA</w:t>
            </w:r>
          </w:p>
        </w:tc>
        <w:tc>
          <w:tcPr>
            <w:tcW w:w="934" w:type="pct"/>
          </w:tcPr>
          <w:p w14:paraId="0B84BCA3" w14:textId="77777777" w:rsidR="00F46EF2" w:rsidRPr="00DF48A3" w:rsidRDefault="00F46EF2" w:rsidP="00634CA1">
            <w:r w:rsidRPr="00DF48A3">
              <w:t>No</w:t>
            </w:r>
          </w:p>
        </w:tc>
      </w:tr>
      <w:tr w:rsidR="00F46EF2" w14:paraId="2EC252E5" w14:textId="77777777" w:rsidTr="00634CA1">
        <w:tc>
          <w:tcPr>
            <w:tcW w:w="816" w:type="pct"/>
            <w:vAlign w:val="center"/>
          </w:tcPr>
          <w:p w14:paraId="48171798" w14:textId="77777777" w:rsidR="00F46EF2" w:rsidRPr="00DF48A3" w:rsidRDefault="00F46EF2" w:rsidP="00634CA1">
            <w:r w:rsidRPr="00DF48A3">
              <w:t>New Zealand</w:t>
            </w:r>
          </w:p>
        </w:tc>
        <w:tc>
          <w:tcPr>
            <w:tcW w:w="675" w:type="pct"/>
            <w:vAlign w:val="center"/>
          </w:tcPr>
          <w:p w14:paraId="38F0FC0F" w14:textId="77777777" w:rsidR="00F46EF2" w:rsidRPr="00DF48A3" w:rsidRDefault="00F46EF2" w:rsidP="00634CA1">
            <w:r>
              <w:t>PHARMAC</w:t>
            </w:r>
          </w:p>
        </w:tc>
        <w:tc>
          <w:tcPr>
            <w:tcW w:w="1173" w:type="pct"/>
          </w:tcPr>
          <w:p w14:paraId="10029D20" w14:textId="77777777" w:rsidR="00F46EF2" w:rsidRPr="00DF48A3" w:rsidRDefault="00F46EF2" w:rsidP="00634CA1">
            <w:r w:rsidRPr="00DF48A3">
              <w:t>CMA</w:t>
            </w:r>
          </w:p>
        </w:tc>
        <w:tc>
          <w:tcPr>
            <w:tcW w:w="1402" w:type="pct"/>
          </w:tcPr>
          <w:p w14:paraId="4F5287A7" w14:textId="77777777" w:rsidR="00F46EF2" w:rsidRDefault="00F46EF2" w:rsidP="00634CA1">
            <w:r w:rsidRPr="00DF48A3">
              <w:t>CUA</w:t>
            </w:r>
            <w:r>
              <w:t xml:space="preserve"> (preferred)</w:t>
            </w:r>
          </w:p>
          <w:p w14:paraId="2C2ADFE5" w14:textId="77777777" w:rsidR="00F46EF2" w:rsidRPr="00DF48A3" w:rsidRDefault="00F46EF2" w:rsidP="00634CA1">
            <w:r>
              <w:t>CEA</w:t>
            </w:r>
          </w:p>
        </w:tc>
        <w:tc>
          <w:tcPr>
            <w:tcW w:w="934" w:type="pct"/>
          </w:tcPr>
          <w:p w14:paraId="03DC1FF3" w14:textId="77777777" w:rsidR="00F46EF2" w:rsidRPr="00DF48A3" w:rsidRDefault="00F46EF2" w:rsidP="00634CA1">
            <w:r w:rsidRPr="00DF48A3">
              <w:t>No</w:t>
            </w:r>
          </w:p>
        </w:tc>
      </w:tr>
      <w:tr w:rsidR="00F46EF2" w14:paraId="49B16E85" w14:textId="77777777" w:rsidTr="00634CA1">
        <w:tc>
          <w:tcPr>
            <w:tcW w:w="816" w:type="pct"/>
            <w:vAlign w:val="center"/>
          </w:tcPr>
          <w:p w14:paraId="6FF2D5B5" w14:textId="77777777" w:rsidR="00F46EF2" w:rsidRPr="00BA3A67" w:rsidRDefault="00F46EF2" w:rsidP="00634CA1">
            <w:r w:rsidRPr="00BA3A67">
              <w:t>France</w:t>
            </w:r>
          </w:p>
        </w:tc>
        <w:tc>
          <w:tcPr>
            <w:tcW w:w="675" w:type="pct"/>
            <w:vAlign w:val="center"/>
          </w:tcPr>
          <w:p w14:paraId="51FD7BA3" w14:textId="77777777" w:rsidR="00F46EF2" w:rsidRPr="00BA3A67" w:rsidRDefault="00F46EF2" w:rsidP="00634CA1">
            <w:r w:rsidRPr="00BA3A67">
              <w:t>HAS</w:t>
            </w:r>
          </w:p>
        </w:tc>
        <w:tc>
          <w:tcPr>
            <w:tcW w:w="1173" w:type="pct"/>
          </w:tcPr>
          <w:p w14:paraId="047CF1DD" w14:textId="77777777" w:rsidR="00F46EF2" w:rsidRPr="00BA3A67" w:rsidRDefault="00F46EF2" w:rsidP="00634CA1">
            <w:r w:rsidRPr="00BA3A67">
              <w:t>Assessment of added benefit</w:t>
            </w:r>
          </w:p>
        </w:tc>
        <w:tc>
          <w:tcPr>
            <w:tcW w:w="1402" w:type="pct"/>
          </w:tcPr>
          <w:p w14:paraId="48575000" w14:textId="77777777" w:rsidR="00F46EF2" w:rsidRPr="00BA3A67" w:rsidRDefault="00F46EF2" w:rsidP="00634CA1">
            <w:r w:rsidRPr="00BA3A67">
              <w:t>Preference unspecified: CUA, CEA; Assessment of added benefit</w:t>
            </w:r>
          </w:p>
        </w:tc>
        <w:tc>
          <w:tcPr>
            <w:tcW w:w="934" w:type="pct"/>
          </w:tcPr>
          <w:p w14:paraId="58A4E9FD" w14:textId="77777777" w:rsidR="00F46EF2" w:rsidRPr="00BA3A67" w:rsidRDefault="00F46EF2" w:rsidP="00634CA1">
            <w:r w:rsidRPr="00BA3A67">
              <w:t>No</w:t>
            </w:r>
          </w:p>
        </w:tc>
      </w:tr>
      <w:tr w:rsidR="00F46EF2" w14:paraId="74400EE3" w14:textId="77777777" w:rsidTr="00634CA1">
        <w:tc>
          <w:tcPr>
            <w:tcW w:w="816" w:type="pct"/>
            <w:vAlign w:val="center"/>
          </w:tcPr>
          <w:p w14:paraId="36E9B577" w14:textId="77777777" w:rsidR="00F46EF2" w:rsidRPr="00BA3A67" w:rsidRDefault="00F46EF2" w:rsidP="00634CA1">
            <w:r w:rsidRPr="00BA3A67">
              <w:t>Germany</w:t>
            </w:r>
          </w:p>
        </w:tc>
        <w:tc>
          <w:tcPr>
            <w:tcW w:w="675" w:type="pct"/>
            <w:vAlign w:val="center"/>
          </w:tcPr>
          <w:p w14:paraId="3EE36535" w14:textId="77777777" w:rsidR="00F46EF2" w:rsidRPr="00BA3A67" w:rsidRDefault="00F46EF2" w:rsidP="00634CA1">
            <w:proofErr w:type="spellStart"/>
            <w:r w:rsidRPr="00BA3A67">
              <w:t>IQWiG</w:t>
            </w:r>
            <w:proofErr w:type="spellEnd"/>
            <w:r w:rsidRPr="00BA3A67">
              <w:t xml:space="preserve">/G-BA </w:t>
            </w:r>
          </w:p>
        </w:tc>
        <w:tc>
          <w:tcPr>
            <w:tcW w:w="1173" w:type="pct"/>
          </w:tcPr>
          <w:p w14:paraId="34AE66F7" w14:textId="77777777" w:rsidR="00F46EF2" w:rsidRPr="00BA3A67" w:rsidRDefault="00F46EF2" w:rsidP="00634CA1">
            <w:r w:rsidRPr="00BA3A67">
              <w:t>Assessment of added benefit</w:t>
            </w:r>
          </w:p>
        </w:tc>
        <w:tc>
          <w:tcPr>
            <w:tcW w:w="1402" w:type="pct"/>
          </w:tcPr>
          <w:p w14:paraId="21B0DADD" w14:textId="77777777" w:rsidR="00F46EF2" w:rsidRPr="00BA3A67" w:rsidRDefault="00F46EF2" w:rsidP="00634CA1">
            <w:r w:rsidRPr="00BA3A67">
              <w:t>Assessment of added benefit</w:t>
            </w:r>
          </w:p>
        </w:tc>
        <w:tc>
          <w:tcPr>
            <w:tcW w:w="934" w:type="pct"/>
          </w:tcPr>
          <w:p w14:paraId="18C90E8E" w14:textId="77777777" w:rsidR="00F46EF2" w:rsidRPr="00BA3A67" w:rsidRDefault="00F46EF2" w:rsidP="00634CA1">
            <w:r w:rsidRPr="00BA3A67">
              <w:t>No</w:t>
            </w:r>
          </w:p>
        </w:tc>
      </w:tr>
      <w:tr w:rsidR="00F46EF2" w14:paraId="08152FDC" w14:textId="77777777" w:rsidTr="00634CA1">
        <w:tc>
          <w:tcPr>
            <w:tcW w:w="816" w:type="pct"/>
            <w:tcBorders>
              <w:bottom w:val="single" w:sz="4" w:space="0" w:color="auto"/>
            </w:tcBorders>
            <w:vAlign w:val="center"/>
          </w:tcPr>
          <w:p w14:paraId="5888083C" w14:textId="77777777" w:rsidR="00F46EF2" w:rsidRPr="00BA3A67" w:rsidRDefault="00F46EF2" w:rsidP="00634CA1">
            <w:r w:rsidRPr="00BA3A67">
              <w:t>Norway</w:t>
            </w:r>
          </w:p>
        </w:tc>
        <w:tc>
          <w:tcPr>
            <w:tcW w:w="675" w:type="pct"/>
            <w:vAlign w:val="center"/>
          </w:tcPr>
          <w:p w14:paraId="75B0C3AE" w14:textId="77777777" w:rsidR="00F46EF2" w:rsidRPr="00BA3A67" w:rsidRDefault="00F46EF2" w:rsidP="00634CA1">
            <w:r w:rsidRPr="00BA3A67">
              <w:t>NOMA/NIPH</w:t>
            </w:r>
          </w:p>
        </w:tc>
        <w:tc>
          <w:tcPr>
            <w:tcW w:w="1173" w:type="pct"/>
          </w:tcPr>
          <w:p w14:paraId="194FDAE8" w14:textId="77777777" w:rsidR="00F46EF2" w:rsidRPr="00BA3A67" w:rsidRDefault="00F46EF2" w:rsidP="00634CA1">
            <w:r w:rsidRPr="00BA3A67">
              <w:t>CMA</w:t>
            </w:r>
          </w:p>
        </w:tc>
        <w:tc>
          <w:tcPr>
            <w:tcW w:w="1402" w:type="pct"/>
          </w:tcPr>
          <w:p w14:paraId="278DB0F4" w14:textId="77777777" w:rsidR="00F46EF2" w:rsidRPr="00BA3A67" w:rsidRDefault="00F46EF2" w:rsidP="00634CA1">
            <w:r w:rsidRPr="00BA3A67">
              <w:t>CUA (preferred)</w:t>
            </w:r>
          </w:p>
          <w:p w14:paraId="01CA3CBD" w14:textId="77777777" w:rsidR="00F46EF2" w:rsidRPr="00BA3A67" w:rsidRDefault="00F46EF2" w:rsidP="00634CA1">
            <w:r w:rsidRPr="00BA3A67">
              <w:t>CEA</w:t>
            </w:r>
          </w:p>
        </w:tc>
        <w:tc>
          <w:tcPr>
            <w:tcW w:w="934" w:type="pct"/>
          </w:tcPr>
          <w:p w14:paraId="4688C5B3" w14:textId="77777777" w:rsidR="00F46EF2" w:rsidRPr="00BA3A67" w:rsidRDefault="00F46EF2" w:rsidP="00634CA1">
            <w:r w:rsidRPr="00BA3A67">
              <w:t>Yes</w:t>
            </w:r>
          </w:p>
        </w:tc>
      </w:tr>
      <w:tr w:rsidR="00F46EF2" w14:paraId="2EFA5252" w14:textId="77777777" w:rsidTr="00634CA1">
        <w:tc>
          <w:tcPr>
            <w:tcW w:w="816" w:type="pct"/>
            <w:tcBorders>
              <w:bottom w:val="single" w:sz="4" w:space="0" w:color="auto"/>
            </w:tcBorders>
            <w:vAlign w:val="center"/>
          </w:tcPr>
          <w:p w14:paraId="2FD9CE82" w14:textId="77777777" w:rsidR="00F46EF2" w:rsidRPr="00BA3A67" w:rsidRDefault="00F46EF2" w:rsidP="00634CA1">
            <w:r w:rsidRPr="00BA3A67">
              <w:t>Sweden</w:t>
            </w:r>
          </w:p>
        </w:tc>
        <w:tc>
          <w:tcPr>
            <w:tcW w:w="675" w:type="pct"/>
            <w:vAlign w:val="center"/>
          </w:tcPr>
          <w:p w14:paraId="51D424EC" w14:textId="77777777" w:rsidR="00F46EF2" w:rsidRPr="00BA3A67" w:rsidRDefault="00F46EF2" w:rsidP="00634CA1">
            <w:r w:rsidRPr="00BA3A67">
              <w:t>TLV</w:t>
            </w:r>
          </w:p>
        </w:tc>
        <w:tc>
          <w:tcPr>
            <w:tcW w:w="1173" w:type="pct"/>
          </w:tcPr>
          <w:p w14:paraId="52994774" w14:textId="77777777" w:rsidR="00F46EF2" w:rsidRPr="00BA3A67" w:rsidRDefault="00F46EF2" w:rsidP="00634CA1">
            <w:r w:rsidRPr="00BA3A67">
              <w:t>CMA</w:t>
            </w:r>
          </w:p>
        </w:tc>
        <w:tc>
          <w:tcPr>
            <w:tcW w:w="1402" w:type="pct"/>
          </w:tcPr>
          <w:p w14:paraId="5D56FF30" w14:textId="77777777" w:rsidR="00F46EF2" w:rsidRPr="00BA3A67" w:rsidRDefault="00F46EF2" w:rsidP="00634CA1">
            <w:r w:rsidRPr="00BA3A67">
              <w:t xml:space="preserve">CEA, CUA </w:t>
            </w:r>
          </w:p>
        </w:tc>
        <w:tc>
          <w:tcPr>
            <w:tcW w:w="934" w:type="pct"/>
          </w:tcPr>
          <w:p w14:paraId="6D88AA4E" w14:textId="77777777" w:rsidR="00F46EF2" w:rsidRPr="00BA3A67" w:rsidRDefault="00F46EF2" w:rsidP="00634CA1">
            <w:r>
              <w:t>No</w:t>
            </w:r>
          </w:p>
        </w:tc>
      </w:tr>
      <w:tr w:rsidR="00F46EF2" w14:paraId="4495D836" w14:textId="77777777" w:rsidTr="00634CA1">
        <w:tc>
          <w:tcPr>
            <w:tcW w:w="816" w:type="pct"/>
            <w:tcBorders>
              <w:top w:val="single" w:sz="4" w:space="0" w:color="auto"/>
            </w:tcBorders>
            <w:vAlign w:val="center"/>
          </w:tcPr>
          <w:p w14:paraId="5434E17D" w14:textId="77777777" w:rsidR="00F46EF2" w:rsidRPr="00BA3A67" w:rsidRDefault="00F46EF2" w:rsidP="00634CA1">
            <w:r w:rsidRPr="00BA3A67">
              <w:t>The Netherlands</w:t>
            </w:r>
          </w:p>
        </w:tc>
        <w:tc>
          <w:tcPr>
            <w:tcW w:w="675" w:type="pct"/>
            <w:vAlign w:val="center"/>
          </w:tcPr>
          <w:p w14:paraId="0BBB601D" w14:textId="77777777" w:rsidR="00F46EF2" w:rsidRPr="00BA3A67" w:rsidRDefault="00F46EF2" w:rsidP="00634CA1">
            <w:r w:rsidRPr="00BA3A67">
              <w:t>ZIN</w:t>
            </w:r>
          </w:p>
        </w:tc>
        <w:tc>
          <w:tcPr>
            <w:tcW w:w="1173" w:type="pct"/>
          </w:tcPr>
          <w:p w14:paraId="2E62FAFF" w14:textId="77777777" w:rsidR="00F46EF2" w:rsidRPr="00BA3A67" w:rsidRDefault="00F46EF2" w:rsidP="00634CA1">
            <w:r w:rsidRPr="00BA3A67">
              <w:t>CMA</w:t>
            </w:r>
          </w:p>
        </w:tc>
        <w:tc>
          <w:tcPr>
            <w:tcW w:w="1402" w:type="pct"/>
          </w:tcPr>
          <w:p w14:paraId="2643E6E6" w14:textId="77777777" w:rsidR="00F46EF2" w:rsidRPr="00BA3A67" w:rsidRDefault="00F46EF2" w:rsidP="00634CA1">
            <w:r w:rsidRPr="00BA3A67">
              <w:t>CEA, CUA</w:t>
            </w:r>
          </w:p>
        </w:tc>
        <w:tc>
          <w:tcPr>
            <w:tcW w:w="934" w:type="pct"/>
          </w:tcPr>
          <w:p w14:paraId="15FDCC5D" w14:textId="77777777" w:rsidR="00F46EF2" w:rsidRPr="00BA3A67" w:rsidRDefault="00F46EF2" w:rsidP="00634CA1">
            <w:r w:rsidRPr="00BA3A67">
              <w:t>Yes</w:t>
            </w:r>
          </w:p>
        </w:tc>
      </w:tr>
      <w:tr w:rsidR="00F46EF2" w14:paraId="65A61939" w14:textId="77777777" w:rsidTr="00634CA1">
        <w:tc>
          <w:tcPr>
            <w:tcW w:w="816" w:type="pct"/>
            <w:vAlign w:val="center"/>
          </w:tcPr>
          <w:p w14:paraId="439473F2" w14:textId="77777777" w:rsidR="00F46EF2" w:rsidRPr="00BA3A67" w:rsidRDefault="00F46EF2" w:rsidP="00634CA1">
            <w:r w:rsidRPr="00BA3A67">
              <w:t>Belgium</w:t>
            </w:r>
          </w:p>
        </w:tc>
        <w:tc>
          <w:tcPr>
            <w:tcW w:w="675" w:type="pct"/>
            <w:vAlign w:val="center"/>
          </w:tcPr>
          <w:p w14:paraId="3130ED12" w14:textId="77777777" w:rsidR="00F46EF2" w:rsidRPr="00BA3A67" w:rsidRDefault="00F46EF2" w:rsidP="00634CA1">
            <w:r w:rsidRPr="00BA3A67">
              <w:t>KCE</w:t>
            </w:r>
          </w:p>
        </w:tc>
        <w:tc>
          <w:tcPr>
            <w:tcW w:w="1173" w:type="pct"/>
          </w:tcPr>
          <w:p w14:paraId="3D03A36E" w14:textId="77777777" w:rsidR="00F46EF2" w:rsidRPr="00BA3A67" w:rsidRDefault="00F46EF2" w:rsidP="00634CA1">
            <w:r w:rsidRPr="00BA3A67">
              <w:t>CEA/CUA is used to show health outcomes are identical prior to CMA being considered appropriate</w:t>
            </w:r>
          </w:p>
        </w:tc>
        <w:tc>
          <w:tcPr>
            <w:tcW w:w="1402" w:type="pct"/>
          </w:tcPr>
          <w:p w14:paraId="4FA18F46" w14:textId="77777777" w:rsidR="00F46EF2" w:rsidRPr="00BA3A67" w:rsidRDefault="00F46EF2" w:rsidP="00634CA1">
            <w:r w:rsidRPr="00BA3A67">
              <w:t>CEA,</w:t>
            </w:r>
            <w:r>
              <w:t xml:space="preserve"> </w:t>
            </w:r>
            <w:r w:rsidRPr="00BA3A67">
              <w:t>CUA</w:t>
            </w:r>
          </w:p>
        </w:tc>
        <w:tc>
          <w:tcPr>
            <w:tcW w:w="934" w:type="pct"/>
          </w:tcPr>
          <w:p w14:paraId="040241E1" w14:textId="77777777" w:rsidR="00F46EF2" w:rsidRPr="00BA3A67" w:rsidRDefault="00F46EF2" w:rsidP="00634CA1">
            <w:r w:rsidRPr="00BA3A67">
              <w:t>Unclear</w:t>
            </w:r>
          </w:p>
        </w:tc>
      </w:tr>
      <w:tr w:rsidR="00F46EF2" w14:paraId="3BAFE8AE" w14:textId="77777777" w:rsidTr="00634CA1">
        <w:tc>
          <w:tcPr>
            <w:tcW w:w="816" w:type="pct"/>
            <w:vAlign w:val="center"/>
          </w:tcPr>
          <w:p w14:paraId="30227A4C" w14:textId="77777777" w:rsidR="00F46EF2" w:rsidRPr="00BA3A67" w:rsidRDefault="00F46EF2" w:rsidP="00634CA1">
            <w:r w:rsidRPr="00BA3A67">
              <w:t>Spain</w:t>
            </w:r>
          </w:p>
        </w:tc>
        <w:tc>
          <w:tcPr>
            <w:tcW w:w="675" w:type="pct"/>
            <w:vAlign w:val="center"/>
          </w:tcPr>
          <w:p w14:paraId="35BA803D" w14:textId="77777777" w:rsidR="00F46EF2" w:rsidRPr="00BA3A67" w:rsidRDefault="00F46EF2" w:rsidP="00634CA1">
            <w:r w:rsidRPr="00BA3A67">
              <w:t>Various</w:t>
            </w:r>
          </w:p>
        </w:tc>
        <w:tc>
          <w:tcPr>
            <w:tcW w:w="1173" w:type="pct"/>
          </w:tcPr>
          <w:p w14:paraId="4ED67AB4" w14:textId="77777777" w:rsidR="00F46EF2" w:rsidRPr="00BA3A67" w:rsidRDefault="00F46EF2" w:rsidP="00634CA1">
            <w:r w:rsidRPr="00BA3A67">
              <w:t>Unclear</w:t>
            </w:r>
          </w:p>
        </w:tc>
        <w:tc>
          <w:tcPr>
            <w:tcW w:w="1402" w:type="pct"/>
          </w:tcPr>
          <w:p w14:paraId="152E1D5D" w14:textId="77777777" w:rsidR="00F46EF2" w:rsidRPr="00BA3A67" w:rsidRDefault="00F46EF2" w:rsidP="00634CA1">
            <w:r w:rsidRPr="00BA3A67">
              <w:t>Unclear</w:t>
            </w:r>
          </w:p>
        </w:tc>
        <w:tc>
          <w:tcPr>
            <w:tcW w:w="934" w:type="pct"/>
          </w:tcPr>
          <w:p w14:paraId="252947B0" w14:textId="77777777" w:rsidR="00F46EF2" w:rsidRPr="00BA3A67" w:rsidRDefault="00F46EF2" w:rsidP="00634CA1">
            <w:r w:rsidRPr="00BA3A67">
              <w:t>No</w:t>
            </w:r>
          </w:p>
        </w:tc>
      </w:tr>
      <w:tr w:rsidR="00F46EF2" w14:paraId="47E2B5C2" w14:textId="77777777" w:rsidTr="00634CA1">
        <w:tc>
          <w:tcPr>
            <w:tcW w:w="816" w:type="pct"/>
            <w:vAlign w:val="center"/>
          </w:tcPr>
          <w:p w14:paraId="667E2876" w14:textId="77777777" w:rsidR="00F46EF2" w:rsidRPr="00BA3A67" w:rsidRDefault="00F46EF2" w:rsidP="00634CA1">
            <w:r w:rsidRPr="00BA3A67">
              <w:t>Japan</w:t>
            </w:r>
          </w:p>
        </w:tc>
        <w:tc>
          <w:tcPr>
            <w:tcW w:w="675" w:type="pct"/>
            <w:vAlign w:val="center"/>
          </w:tcPr>
          <w:p w14:paraId="10E31B20" w14:textId="77777777" w:rsidR="00F46EF2" w:rsidRPr="00BA3A67" w:rsidRDefault="00F46EF2" w:rsidP="00634CA1">
            <w:r w:rsidRPr="00BA3A67">
              <w:t>C2H</w:t>
            </w:r>
          </w:p>
        </w:tc>
        <w:tc>
          <w:tcPr>
            <w:tcW w:w="1173" w:type="pct"/>
          </w:tcPr>
          <w:p w14:paraId="73944F72" w14:textId="77777777" w:rsidR="00F46EF2" w:rsidRPr="00BA3A67" w:rsidRDefault="00F46EF2" w:rsidP="00634CA1">
            <w:r w:rsidRPr="00BA3A67">
              <w:t>CMA</w:t>
            </w:r>
          </w:p>
        </w:tc>
        <w:tc>
          <w:tcPr>
            <w:tcW w:w="1402" w:type="pct"/>
          </w:tcPr>
          <w:p w14:paraId="1BB8CACB" w14:textId="77777777" w:rsidR="00F46EF2" w:rsidRPr="00BA3A67" w:rsidRDefault="00F46EF2" w:rsidP="00634CA1">
            <w:r w:rsidRPr="00BA3A67">
              <w:t xml:space="preserve">Preference unspecified: CUA, CEA. </w:t>
            </w:r>
          </w:p>
        </w:tc>
        <w:tc>
          <w:tcPr>
            <w:tcW w:w="934" w:type="pct"/>
          </w:tcPr>
          <w:p w14:paraId="1B488353" w14:textId="77777777" w:rsidR="00F46EF2" w:rsidRPr="00BA3A67" w:rsidRDefault="00F46EF2" w:rsidP="00634CA1">
            <w:r w:rsidRPr="00BA3A67">
              <w:t>No</w:t>
            </w:r>
          </w:p>
        </w:tc>
      </w:tr>
      <w:tr w:rsidR="00F46EF2" w14:paraId="69FA47ED" w14:textId="77777777" w:rsidTr="00634CA1">
        <w:tc>
          <w:tcPr>
            <w:tcW w:w="816" w:type="pct"/>
            <w:vAlign w:val="center"/>
          </w:tcPr>
          <w:p w14:paraId="5F63AC91" w14:textId="77777777" w:rsidR="00F46EF2" w:rsidRPr="00BA3A67" w:rsidRDefault="00F46EF2" w:rsidP="00634CA1">
            <w:r w:rsidRPr="00BA3A67">
              <w:t>South Korea</w:t>
            </w:r>
          </w:p>
        </w:tc>
        <w:tc>
          <w:tcPr>
            <w:tcW w:w="675" w:type="pct"/>
            <w:vAlign w:val="center"/>
          </w:tcPr>
          <w:p w14:paraId="0DE00F65" w14:textId="77777777" w:rsidR="00F46EF2" w:rsidRPr="00BA3A67" w:rsidRDefault="00F46EF2" w:rsidP="00634CA1">
            <w:r w:rsidRPr="00BA3A67">
              <w:t>NECA</w:t>
            </w:r>
          </w:p>
        </w:tc>
        <w:tc>
          <w:tcPr>
            <w:tcW w:w="1173" w:type="pct"/>
          </w:tcPr>
          <w:p w14:paraId="67BB4B90" w14:textId="77777777" w:rsidR="00F46EF2" w:rsidRPr="00BA3A67" w:rsidRDefault="00F46EF2" w:rsidP="00634CA1">
            <w:r w:rsidRPr="00BA3A67">
              <w:t>Unclear</w:t>
            </w:r>
          </w:p>
        </w:tc>
        <w:tc>
          <w:tcPr>
            <w:tcW w:w="1402" w:type="pct"/>
          </w:tcPr>
          <w:p w14:paraId="174EC428" w14:textId="77777777" w:rsidR="00F46EF2" w:rsidRPr="00BA3A67" w:rsidRDefault="00F46EF2" w:rsidP="00634CA1">
            <w:r w:rsidRPr="00BA3A67">
              <w:t xml:space="preserve">Preference unspecified: CUA, CEA. </w:t>
            </w:r>
          </w:p>
        </w:tc>
        <w:tc>
          <w:tcPr>
            <w:tcW w:w="934" w:type="pct"/>
          </w:tcPr>
          <w:p w14:paraId="43C7FB23" w14:textId="77777777" w:rsidR="00F46EF2" w:rsidRPr="00BA3A67" w:rsidRDefault="00F46EF2" w:rsidP="00634CA1">
            <w:r w:rsidRPr="00BA3A67">
              <w:t>No</w:t>
            </w:r>
          </w:p>
        </w:tc>
      </w:tr>
      <w:tr w:rsidR="00F46EF2" w14:paraId="43DB55AC" w14:textId="77777777" w:rsidTr="00634CA1">
        <w:tc>
          <w:tcPr>
            <w:tcW w:w="816" w:type="pct"/>
            <w:vAlign w:val="center"/>
          </w:tcPr>
          <w:p w14:paraId="41A6439D" w14:textId="77777777" w:rsidR="00F46EF2" w:rsidRPr="00BA3A67" w:rsidRDefault="00F46EF2" w:rsidP="00634CA1">
            <w:r w:rsidRPr="00BA3A67">
              <w:t>Singapore</w:t>
            </w:r>
          </w:p>
        </w:tc>
        <w:tc>
          <w:tcPr>
            <w:tcW w:w="675" w:type="pct"/>
            <w:vAlign w:val="center"/>
          </w:tcPr>
          <w:p w14:paraId="227CA2D2" w14:textId="77777777" w:rsidR="00F46EF2" w:rsidRPr="00BA3A67" w:rsidRDefault="00F46EF2" w:rsidP="00634CA1">
            <w:r w:rsidRPr="00BA3A67">
              <w:t>ACE</w:t>
            </w:r>
          </w:p>
        </w:tc>
        <w:tc>
          <w:tcPr>
            <w:tcW w:w="1173" w:type="pct"/>
          </w:tcPr>
          <w:p w14:paraId="227F2264" w14:textId="77777777" w:rsidR="00F46EF2" w:rsidRPr="00BA3A67" w:rsidRDefault="00F46EF2" w:rsidP="00634CA1">
            <w:r w:rsidRPr="00BA3A67">
              <w:t xml:space="preserve">CMA </w:t>
            </w:r>
            <w:r w:rsidRPr="00BA3A67">
              <w:br/>
              <w:t>Faster process</w:t>
            </w:r>
          </w:p>
        </w:tc>
        <w:tc>
          <w:tcPr>
            <w:tcW w:w="1402" w:type="pct"/>
          </w:tcPr>
          <w:p w14:paraId="0257107A" w14:textId="77777777" w:rsidR="00F46EF2" w:rsidRPr="00BA3A67" w:rsidRDefault="00F46EF2" w:rsidP="00634CA1">
            <w:r w:rsidRPr="00BA3A67">
              <w:t>CUA (preferred)</w:t>
            </w:r>
          </w:p>
          <w:p w14:paraId="611FC9FF" w14:textId="77777777" w:rsidR="00F46EF2" w:rsidRPr="00BA3A67" w:rsidRDefault="00F46EF2" w:rsidP="00634CA1">
            <w:r w:rsidRPr="00BA3A67">
              <w:t>CEA</w:t>
            </w:r>
          </w:p>
        </w:tc>
        <w:tc>
          <w:tcPr>
            <w:tcW w:w="934" w:type="pct"/>
          </w:tcPr>
          <w:p w14:paraId="1B9525E4" w14:textId="77777777" w:rsidR="00F46EF2" w:rsidRPr="00BA3A67" w:rsidRDefault="00F46EF2" w:rsidP="00634CA1">
            <w:r w:rsidRPr="00BA3A67">
              <w:t>No</w:t>
            </w:r>
          </w:p>
        </w:tc>
      </w:tr>
      <w:tr w:rsidR="00F46EF2" w14:paraId="3616F3FE" w14:textId="77777777" w:rsidTr="00634CA1">
        <w:tc>
          <w:tcPr>
            <w:tcW w:w="816" w:type="pct"/>
            <w:vAlign w:val="center"/>
          </w:tcPr>
          <w:p w14:paraId="50728A04" w14:textId="77777777" w:rsidR="00F46EF2" w:rsidRPr="00BA3A67" w:rsidRDefault="00F46EF2" w:rsidP="00634CA1">
            <w:r w:rsidRPr="00BA3A67">
              <w:t>Taiwan</w:t>
            </w:r>
          </w:p>
        </w:tc>
        <w:tc>
          <w:tcPr>
            <w:tcW w:w="675" w:type="pct"/>
            <w:vAlign w:val="center"/>
          </w:tcPr>
          <w:p w14:paraId="55258FD2" w14:textId="77777777" w:rsidR="00F46EF2" w:rsidRPr="00BA3A67" w:rsidRDefault="00F46EF2" w:rsidP="00634CA1">
            <w:r w:rsidRPr="00BA3A67">
              <w:t>NIHTA or CDE</w:t>
            </w:r>
          </w:p>
        </w:tc>
        <w:tc>
          <w:tcPr>
            <w:tcW w:w="1173" w:type="pct"/>
          </w:tcPr>
          <w:p w14:paraId="1D0B595C" w14:textId="77777777" w:rsidR="00F46EF2" w:rsidRPr="00BA3A67" w:rsidRDefault="00F46EF2" w:rsidP="00634CA1">
            <w:r w:rsidRPr="00BA3A67">
              <w:t>CMA</w:t>
            </w:r>
          </w:p>
        </w:tc>
        <w:tc>
          <w:tcPr>
            <w:tcW w:w="1402" w:type="pct"/>
          </w:tcPr>
          <w:p w14:paraId="576FF1BE" w14:textId="77777777" w:rsidR="00F46EF2" w:rsidRPr="00BA3A67" w:rsidRDefault="00F46EF2" w:rsidP="00634CA1">
            <w:r w:rsidRPr="00BA3A67">
              <w:t>Preference unspecified: CUA, CEA.</w:t>
            </w:r>
          </w:p>
        </w:tc>
        <w:tc>
          <w:tcPr>
            <w:tcW w:w="934" w:type="pct"/>
          </w:tcPr>
          <w:p w14:paraId="7C99DF42" w14:textId="77777777" w:rsidR="00F46EF2" w:rsidRPr="00BA3A67" w:rsidRDefault="00F46EF2" w:rsidP="00634CA1">
            <w:r w:rsidRPr="00BA3A67">
              <w:t>No</w:t>
            </w:r>
          </w:p>
        </w:tc>
      </w:tr>
    </w:tbl>
    <w:p w14:paraId="420E86D8" w14:textId="38097A17" w:rsidR="00FF745D" w:rsidRPr="00F46EF2" w:rsidRDefault="00000000" w:rsidP="00F46EF2">
      <w:pPr>
        <w:pStyle w:val="afc"/>
        <w:snapToGrid w:val="0"/>
        <w:spacing w:line="240" w:lineRule="atLeast"/>
        <w:rPr>
          <w:rFonts w:ascii="Times New Roman" w:eastAsia="ＭＳ Ｐ明朝" w:hAnsi="Times New Roman" w:cs="Times New Roman"/>
          <w:sz w:val="18"/>
          <w:szCs w:val="18"/>
        </w:rPr>
      </w:pPr>
      <w:r w:rsidRPr="00F46EF2">
        <w:rPr>
          <w:rFonts w:ascii="Times New Roman" w:eastAsia="ＭＳ Ｐ明朝" w:hAnsi="Times New Roman" w:cs="Times New Roman"/>
          <w:sz w:val="18"/>
          <w:szCs w:val="18"/>
        </w:rPr>
        <w:t>ACE = Agency for Care Effectiveness</w:t>
      </w:r>
      <w:r w:rsidRPr="00F46EF2">
        <w:rPr>
          <w:rFonts w:ascii="Times New Roman" w:eastAsia="ＭＳ Ｐ明朝" w:hAnsi="Times New Roman" w:cs="Times New Roman"/>
          <w:sz w:val="18"/>
          <w:szCs w:val="18"/>
        </w:rPr>
        <w:t>（シンガポール）</w:t>
      </w:r>
      <w:r w:rsidRPr="00F46EF2">
        <w:rPr>
          <w:rFonts w:ascii="Times New Roman" w:eastAsia="ＭＳ Ｐ明朝" w:hAnsi="Times New Roman" w:cs="Times New Roman"/>
          <w:sz w:val="18"/>
          <w:szCs w:val="18"/>
        </w:rPr>
        <w:t>; C2H = Center For Outcomes Research And Economic Evaluation For Health</w:t>
      </w:r>
      <w:r w:rsidRPr="00F46EF2">
        <w:rPr>
          <w:rFonts w:ascii="Times New Roman" w:eastAsia="ＭＳ Ｐ明朝" w:hAnsi="Times New Roman" w:cs="Times New Roman"/>
          <w:sz w:val="18"/>
          <w:szCs w:val="18"/>
        </w:rPr>
        <w:t>（日本）</w:t>
      </w:r>
      <w:r w:rsidRPr="00F46EF2">
        <w:rPr>
          <w:rFonts w:ascii="Times New Roman" w:eastAsia="ＭＳ Ｐ明朝" w:hAnsi="Times New Roman" w:cs="Times New Roman"/>
          <w:sz w:val="18"/>
          <w:szCs w:val="18"/>
        </w:rPr>
        <w:t>; CADTH = Canadian Agency for Drugs and Technologies in Health; CCA = cost-consequence analysis; CDE = Center for Drug Evaluation</w:t>
      </w:r>
      <w:r w:rsidRPr="00F46EF2">
        <w:rPr>
          <w:rFonts w:ascii="Times New Roman" w:eastAsia="ＭＳ Ｐ明朝" w:hAnsi="Times New Roman" w:cs="Times New Roman"/>
          <w:sz w:val="18"/>
          <w:szCs w:val="18"/>
        </w:rPr>
        <w:t>（台湾）</w:t>
      </w:r>
      <w:r w:rsidRPr="00F46EF2">
        <w:rPr>
          <w:rFonts w:ascii="Times New Roman" w:eastAsia="ＭＳ Ｐ明朝" w:hAnsi="Times New Roman" w:cs="Times New Roman"/>
          <w:sz w:val="18"/>
          <w:szCs w:val="18"/>
        </w:rPr>
        <w:t>; CMA = cost-minimization analysis; CUA = cost utility analysis</w:t>
      </w:r>
      <w:r w:rsidRPr="00F46EF2">
        <w:rPr>
          <w:rFonts w:ascii="Times New Roman" w:eastAsia="ＭＳ Ｐ明朝" w:hAnsi="Times New Roman" w:cs="Times New Roman"/>
          <w:sz w:val="18"/>
          <w:szCs w:val="18"/>
        </w:rPr>
        <w:t>；</w:t>
      </w:r>
      <w:r w:rsidRPr="00F46EF2">
        <w:rPr>
          <w:rFonts w:ascii="Times New Roman" w:eastAsia="ＭＳ Ｐ明朝" w:hAnsi="Times New Roman" w:cs="Times New Roman"/>
          <w:sz w:val="18"/>
          <w:szCs w:val="18"/>
        </w:rPr>
        <w:t>G - BA = Gemeinsamer Bundesausschuss</w:t>
      </w:r>
      <w:r w:rsidRPr="00F46EF2">
        <w:rPr>
          <w:rFonts w:ascii="Times New Roman" w:eastAsia="ＭＳ Ｐ明朝" w:hAnsi="Times New Roman" w:cs="Times New Roman"/>
          <w:sz w:val="18"/>
          <w:szCs w:val="18"/>
        </w:rPr>
        <w:t>（連邦合同委員会、ドイツ）、</w:t>
      </w:r>
      <w:r w:rsidRPr="00F46EF2">
        <w:rPr>
          <w:rFonts w:ascii="Times New Roman" w:eastAsia="ＭＳ Ｐ明朝" w:hAnsi="Times New Roman" w:cs="Times New Roman"/>
          <w:sz w:val="18"/>
          <w:szCs w:val="18"/>
        </w:rPr>
        <w:t xml:space="preserve">HAS = </w:t>
      </w:r>
      <w:r w:rsidRPr="00F46EF2">
        <w:rPr>
          <w:rFonts w:ascii="Times New Roman" w:eastAsia="ＭＳ Ｐ明朝" w:hAnsi="Times New Roman" w:cs="Times New Roman"/>
          <w:sz w:val="18"/>
          <w:szCs w:val="18"/>
        </w:rPr>
        <w:t>フランス保健当局、</w:t>
      </w:r>
      <w:r w:rsidRPr="00F46EF2">
        <w:rPr>
          <w:rFonts w:ascii="Times New Roman" w:eastAsia="ＭＳ Ｐ明朝" w:hAnsi="Times New Roman" w:cs="Times New Roman"/>
          <w:sz w:val="18"/>
          <w:szCs w:val="18"/>
        </w:rPr>
        <w:t xml:space="preserve">HTA = </w:t>
      </w:r>
      <w:r w:rsidRPr="00F46EF2">
        <w:rPr>
          <w:rFonts w:ascii="Times New Roman" w:eastAsia="ＭＳ Ｐ明朝" w:hAnsi="Times New Roman" w:cs="Times New Roman"/>
          <w:sz w:val="18"/>
          <w:szCs w:val="18"/>
        </w:rPr>
        <w:t>医療技術評価、</w:t>
      </w:r>
      <w:r w:rsidRPr="00F46EF2">
        <w:rPr>
          <w:rFonts w:ascii="Times New Roman" w:eastAsia="ＭＳ Ｐ明朝" w:hAnsi="Times New Roman" w:cs="Times New Roman"/>
          <w:sz w:val="18"/>
          <w:szCs w:val="18"/>
        </w:rPr>
        <w:t>IQWiG = Institut für Qualität und Wirtschaftlichkeit im Gesundheitswesen</w:t>
      </w:r>
      <w:r w:rsidRPr="00F46EF2">
        <w:rPr>
          <w:rFonts w:ascii="Times New Roman" w:eastAsia="ＭＳ Ｐ明朝" w:hAnsi="Times New Roman" w:cs="Times New Roman"/>
          <w:sz w:val="18"/>
          <w:szCs w:val="18"/>
        </w:rPr>
        <w:t>（グレマニー）、</w:t>
      </w:r>
      <w:r w:rsidRPr="00F46EF2">
        <w:rPr>
          <w:rFonts w:ascii="Times New Roman" w:eastAsia="ＭＳ Ｐ明朝" w:hAnsi="Times New Roman" w:cs="Times New Roman"/>
          <w:sz w:val="18"/>
          <w:szCs w:val="18"/>
        </w:rPr>
        <w:t xml:space="preserve">KCE = </w:t>
      </w:r>
      <w:r w:rsidRPr="00F46EF2">
        <w:rPr>
          <w:rFonts w:ascii="Times New Roman" w:eastAsia="ＭＳ Ｐ明朝" w:hAnsi="Times New Roman" w:cs="Times New Roman"/>
          <w:sz w:val="18"/>
          <w:szCs w:val="18"/>
        </w:rPr>
        <w:t>ベルギー医療知識センター、</w:t>
      </w:r>
      <w:r w:rsidRPr="00F46EF2">
        <w:rPr>
          <w:rFonts w:ascii="Times New Roman" w:eastAsia="ＭＳ Ｐ明朝" w:hAnsi="Times New Roman" w:cs="Times New Roman"/>
          <w:sz w:val="18"/>
          <w:szCs w:val="18"/>
        </w:rPr>
        <w:t xml:space="preserve">MSAC = </w:t>
      </w:r>
      <w:r w:rsidRPr="00F46EF2">
        <w:rPr>
          <w:rFonts w:ascii="Times New Roman" w:eastAsia="ＭＳ Ｐ明朝" w:hAnsi="Times New Roman" w:cs="Times New Roman"/>
          <w:sz w:val="18"/>
          <w:szCs w:val="18"/>
        </w:rPr>
        <w:t>医療サービス諮問委員会（オーストラリア）；</w:t>
      </w:r>
      <w:r w:rsidRPr="00F46EF2">
        <w:rPr>
          <w:rFonts w:ascii="Times New Roman" w:eastAsia="ＭＳ Ｐ明朝" w:hAnsi="Times New Roman" w:cs="Times New Roman"/>
          <w:sz w:val="18"/>
          <w:szCs w:val="18"/>
        </w:rPr>
        <w:t>NECA = National Evidence-based healthcare Collaborating Agency</w:t>
      </w:r>
      <w:r w:rsidRPr="00F46EF2">
        <w:rPr>
          <w:rFonts w:ascii="Times New Roman" w:eastAsia="ＭＳ Ｐ明朝" w:hAnsi="Times New Roman" w:cs="Times New Roman"/>
          <w:sz w:val="18"/>
          <w:szCs w:val="18"/>
        </w:rPr>
        <w:t>（韓国）</w:t>
      </w:r>
      <w:r w:rsidRPr="00F46EF2">
        <w:rPr>
          <w:rFonts w:ascii="Times New Roman" w:eastAsia="ＭＳ Ｐ明朝" w:hAnsi="Times New Roman" w:cs="Times New Roman"/>
          <w:sz w:val="18"/>
          <w:szCs w:val="18"/>
        </w:rPr>
        <w:t>; NICE = National Institute for Health and Care Excellence</w:t>
      </w:r>
      <w:r w:rsidRPr="00F46EF2">
        <w:rPr>
          <w:rFonts w:ascii="Times New Roman" w:eastAsia="ＭＳ Ｐ明朝" w:hAnsi="Times New Roman" w:cs="Times New Roman"/>
          <w:sz w:val="18"/>
          <w:szCs w:val="18"/>
        </w:rPr>
        <w:t>（イングランド・ウェールズ（</w:t>
      </w:r>
      <w:r w:rsidRPr="00F46EF2">
        <w:rPr>
          <w:rFonts w:ascii="Times New Roman" w:eastAsia="ＭＳ Ｐ明朝" w:hAnsi="Times New Roman" w:cs="Times New Roman"/>
          <w:sz w:val="18"/>
          <w:szCs w:val="18"/>
        </w:rPr>
        <w:t>NICE</w:t>
      </w:r>
      <w:r w:rsidRPr="00F46EF2">
        <w:rPr>
          <w:rFonts w:ascii="Times New Roman" w:eastAsia="ＭＳ Ｐ明朝" w:hAnsi="Times New Roman" w:cs="Times New Roman"/>
          <w:sz w:val="18"/>
          <w:szCs w:val="18"/>
        </w:rPr>
        <w:t>））</w:t>
      </w:r>
      <w:r w:rsidRPr="00F46EF2">
        <w:rPr>
          <w:rFonts w:ascii="Times New Roman" w:eastAsia="ＭＳ Ｐ明朝" w:hAnsi="Times New Roman" w:cs="Times New Roman"/>
          <w:sz w:val="18"/>
          <w:szCs w:val="18"/>
        </w:rPr>
        <w:t>; NIHTA = The National Institute for Health Technology Assessment</w:t>
      </w:r>
      <w:r w:rsidRPr="00F46EF2">
        <w:rPr>
          <w:rFonts w:ascii="Times New Roman" w:eastAsia="ＭＳ Ｐ明朝" w:hAnsi="Times New Roman" w:cs="Times New Roman"/>
          <w:sz w:val="18"/>
          <w:szCs w:val="18"/>
        </w:rPr>
        <w:t>（台湾）</w:t>
      </w:r>
      <w:r w:rsidRPr="00F46EF2">
        <w:rPr>
          <w:rFonts w:ascii="Times New Roman" w:eastAsia="ＭＳ Ｐ明朝" w:hAnsi="Times New Roman" w:cs="Times New Roman"/>
          <w:sz w:val="18"/>
          <w:szCs w:val="18"/>
        </w:rPr>
        <w:t>; NIPH = Norwegian Institute of Public Health</w:t>
      </w:r>
      <w:r w:rsidRPr="00F46EF2">
        <w:rPr>
          <w:rFonts w:ascii="Times New Roman" w:eastAsia="ＭＳ Ｐ明朝" w:hAnsi="Times New Roman" w:cs="Times New Roman"/>
          <w:sz w:val="18"/>
          <w:szCs w:val="18"/>
        </w:rPr>
        <w:t>（ノルウェー公衆衛生研究所）</w:t>
      </w:r>
      <w:r w:rsidRPr="00F46EF2">
        <w:rPr>
          <w:rFonts w:ascii="Times New Roman" w:eastAsia="ＭＳ Ｐ明朝" w:hAnsi="Times New Roman" w:cs="Times New Roman"/>
          <w:sz w:val="18"/>
          <w:szCs w:val="18"/>
        </w:rPr>
        <w:t>; NoMA = Norwegian Medicines Agency</w:t>
      </w:r>
      <w:r w:rsidRPr="00F46EF2">
        <w:rPr>
          <w:rFonts w:ascii="Times New Roman" w:eastAsia="ＭＳ Ｐ明朝" w:hAnsi="Times New Roman" w:cs="Times New Roman"/>
          <w:sz w:val="18"/>
          <w:szCs w:val="18"/>
        </w:rPr>
        <w:t>（ノルウェー医薬品庁）；</w:t>
      </w:r>
      <w:r w:rsidRPr="00F46EF2">
        <w:rPr>
          <w:rFonts w:ascii="Times New Roman" w:eastAsia="ＭＳ Ｐ明朝" w:hAnsi="Times New Roman" w:cs="Times New Roman"/>
          <w:sz w:val="18"/>
          <w:szCs w:val="18"/>
        </w:rPr>
        <w:t>PBAC = Pharmaceutical Benefits Advisory Committee</w:t>
      </w:r>
      <w:r w:rsidRPr="00F46EF2">
        <w:rPr>
          <w:rFonts w:ascii="Times New Roman" w:eastAsia="ＭＳ Ｐ明朝" w:hAnsi="Times New Roman" w:cs="Times New Roman"/>
          <w:sz w:val="18"/>
          <w:szCs w:val="18"/>
        </w:rPr>
        <w:t>（オーストラリア）</w:t>
      </w:r>
      <w:r w:rsidRPr="00F46EF2">
        <w:rPr>
          <w:rFonts w:ascii="Times New Roman" w:eastAsia="ＭＳ Ｐ明朝" w:hAnsi="Times New Roman" w:cs="Times New Roman"/>
          <w:sz w:val="18"/>
          <w:szCs w:val="18"/>
        </w:rPr>
        <w:t>; PHARMAC = Pharmaceutical Management Agency</w:t>
      </w:r>
      <w:r w:rsidRPr="00F46EF2">
        <w:rPr>
          <w:rFonts w:ascii="Times New Roman" w:eastAsia="ＭＳ Ｐ明朝" w:hAnsi="Times New Roman" w:cs="Times New Roman"/>
          <w:sz w:val="18"/>
          <w:szCs w:val="18"/>
        </w:rPr>
        <w:t>（ニュージーランド）</w:t>
      </w:r>
      <w:r w:rsidRPr="00F46EF2">
        <w:rPr>
          <w:rFonts w:ascii="Times New Roman" w:eastAsia="ＭＳ Ｐ明朝" w:hAnsi="Times New Roman" w:cs="Times New Roman"/>
          <w:sz w:val="18"/>
          <w:szCs w:val="18"/>
        </w:rPr>
        <w:t>; SMC = Scottish Medicines Consortium; TLV = Dental and Pharmaceutical Benefits Agency</w:t>
      </w:r>
      <w:r w:rsidRPr="00F46EF2">
        <w:rPr>
          <w:rFonts w:ascii="Times New Roman" w:eastAsia="ＭＳ Ｐ明朝" w:hAnsi="Times New Roman" w:cs="Times New Roman"/>
          <w:sz w:val="18"/>
          <w:szCs w:val="18"/>
        </w:rPr>
        <w:t>（スウェーデン）</w:t>
      </w:r>
      <w:r w:rsidRPr="00F46EF2">
        <w:rPr>
          <w:rFonts w:ascii="Times New Roman" w:eastAsia="ＭＳ Ｐ明朝" w:hAnsi="Times New Roman" w:cs="Times New Roman"/>
          <w:sz w:val="18"/>
          <w:szCs w:val="18"/>
        </w:rPr>
        <w:t xml:space="preserve">; UK = </w:t>
      </w:r>
      <w:r w:rsidRPr="00F46EF2">
        <w:rPr>
          <w:rFonts w:ascii="Times New Roman" w:eastAsia="ＭＳ Ｐ明朝" w:hAnsi="Times New Roman" w:cs="Times New Roman"/>
          <w:sz w:val="18"/>
          <w:szCs w:val="18"/>
        </w:rPr>
        <w:t>イギリス</w:t>
      </w:r>
      <w:r w:rsidRPr="00F46EF2">
        <w:rPr>
          <w:rFonts w:ascii="Times New Roman" w:eastAsia="ＭＳ Ｐ明朝" w:hAnsi="Times New Roman" w:cs="Times New Roman"/>
          <w:sz w:val="18"/>
          <w:szCs w:val="18"/>
        </w:rPr>
        <w:t>; ZIN = Zorginstituut Nederland</w:t>
      </w:r>
      <w:r w:rsidRPr="00F46EF2">
        <w:rPr>
          <w:rFonts w:ascii="Times New Roman" w:eastAsia="ＭＳ Ｐ明朝" w:hAnsi="Times New Roman" w:cs="Times New Roman"/>
          <w:sz w:val="18"/>
          <w:szCs w:val="18"/>
        </w:rPr>
        <w:t>（オランダ国立医療研究所）。</w:t>
      </w:r>
    </w:p>
    <w:p w14:paraId="4257D3E0" w14:textId="77777777" w:rsidR="00FF745D" w:rsidRPr="00F46EF2" w:rsidRDefault="00000000" w:rsidP="00F46EF2">
      <w:pPr>
        <w:pStyle w:val="afc"/>
        <w:snapToGrid w:val="0"/>
        <w:spacing w:line="240" w:lineRule="atLeast"/>
        <w:rPr>
          <w:rFonts w:ascii="Times New Roman" w:eastAsia="ＭＳ Ｐ明朝" w:hAnsi="Times New Roman" w:cs="Times New Roman"/>
          <w:sz w:val="18"/>
          <w:szCs w:val="18"/>
          <w:lang w:eastAsia="ja-JP"/>
        </w:rPr>
      </w:pPr>
      <w:r w:rsidRPr="00F46EF2">
        <w:rPr>
          <w:rFonts w:ascii="Times New Roman" w:eastAsia="ＭＳ Ｐ明朝" w:hAnsi="Times New Roman" w:cs="Times New Roman"/>
          <w:sz w:val="18"/>
          <w:szCs w:val="18"/>
          <w:lang w:eastAsia="ja-JP"/>
        </w:rPr>
        <w:t>スペインで正式に使用されている経済評価アプローチに関する情報はなかった</w:t>
      </w:r>
      <w:r w:rsidR="00524448" w:rsidRPr="00F46EF2">
        <w:rPr>
          <w:rFonts w:ascii="Times New Roman" w:eastAsia="ＭＳ Ｐ明朝" w:hAnsi="Times New Roman" w:cs="Times New Roman"/>
          <w:sz w:val="18"/>
          <w:szCs w:val="18"/>
          <w:lang w:eastAsia="ja-JP"/>
        </w:rPr>
        <w:t>。</w:t>
      </w:r>
      <w:r w:rsidR="00524448" w:rsidRPr="00F46EF2">
        <w:rPr>
          <w:rFonts w:ascii="Times New Roman" w:eastAsia="ＭＳ Ｐ明朝" w:hAnsi="Times New Roman" w:cs="Times New Roman"/>
          <w:sz w:val="18"/>
          <w:szCs w:val="18"/>
          <w:lang w:eastAsia="ja-JP"/>
        </w:rPr>
        <w:t xml:space="preserve"> </w:t>
      </w:r>
    </w:p>
    <w:p w14:paraId="3E681630" w14:textId="77777777" w:rsidR="00FF745D" w:rsidRPr="00F46EF2" w:rsidRDefault="00000000" w:rsidP="00F46EF2">
      <w:pPr>
        <w:pStyle w:val="afc"/>
        <w:snapToGrid w:val="0"/>
        <w:spacing w:line="240" w:lineRule="atLeast"/>
        <w:rPr>
          <w:rFonts w:ascii="Times New Roman" w:eastAsia="ＭＳ Ｐ明朝" w:hAnsi="Times New Roman" w:cs="Times New Roman"/>
          <w:sz w:val="18"/>
          <w:szCs w:val="18"/>
          <w:lang w:eastAsia="ja-JP"/>
        </w:rPr>
      </w:pPr>
      <w:r w:rsidRPr="00F46EF2">
        <w:rPr>
          <w:rFonts w:ascii="Times New Roman" w:eastAsia="ＭＳ Ｐ明朝" w:hAnsi="Times New Roman" w:cs="Times New Roman"/>
          <w:sz w:val="18"/>
          <w:szCs w:val="18"/>
          <w:lang w:eastAsia="ja-JP"/>
        </w:rPr>
        <w:t>ルクセンブルクには、</w:t>
      </w:r>
      <w:r w:rsidRPr="00F46EF2">
        <w:rPr>
          <w:rFonts w:ascii="Times New Roman" w:eastAsia="ＭＳ Ｐ明朝" w:hAnsi="Times New Roman" w:cs="Times New Roman"/>
          <w:sz w:val="18"/>
          <w:szCs w:val="18"/>
          <w:lang w:eastAsia="ja-JP"/>
        </w:rPr>
        <w:t>HTA</w:t>
      </w:r>
      <w:r w:rsidRPr="00F46EF2">
        <w:rPr>
          <w:rFonts w:ascii="Times New Roman" w:eastAsia="ＭＳ Ｐ明朝" w:hAnsi="Times New Roman" w:cs="Times New Roman"/>
          <w:sz w:val="18"/>
          <w:szCs w:val="18"/>
          <w:lang w:eastAsia="ja-JP"/>
        </w:rPr>
        <w:t>の正式なプロセスはない。</w:t>
      </w:r>
      <w:r w:rsidRPr="00F46EF2">
        <w:rPr>
          <w:rFonts w:ascii="Times New Roman" w:eastAsia="ＭＳ Ｐ明朝" w:hAnsi="Times New Roman" w:cs="Times New Roman"/>
          <w:sz w:val="18"/>
          <w:szCs w:val="18"/>
          <w:lang w:eastAsia="ja-JP"/>
        </w:rPr>
        <w:t xml:space="preserve"> </w:t>
      </w:r>
    </w:p>
    <w:p w14:paraId="3A27F2CC" w14:textId="77777777" w:rsidR="00FF745D" w:rsidRPr="00F46EF2" w:rsidRDefault="00000000" w:rsidP="00F46EF2">
      <w:pPr>
        <w:pStyle w:val="afc"/>
        <w:snapToGrid w:val="0"/>
        <w:spacing w:line="240" w:lineRule="atLeast"/>
        <w:rPr>
          <w:rFonts w:ascii="Times New Roman" w:eastAsia="ＭＳ Ｐ明朝" w:hAnsi="Times New Roman" w:cs="Times New Roman"/>
          <w:sz w:val="18"/>
          <w:szCs w:val="18"/>
          <w:lang w:eastAsia="ja-JP"/>
        </w:rPr>
      </w:pPr>
      <w:r w:rsidRPr="00F46EF2">
        <w:rPr>
          <w:rFonts w:ascii="Times New Roman" w:eastAsia="ＭＳ Ｐ明朝" w:hAnsi="Times New Roman" w:cs="Times New Roman"/>
          <w:sz w:val="18"/>
          <w:szCs w:val="18"/>
          <w:lang w:eastAsia="ja-JP"/>
        </w:rPr>
        <w:t>a PBAC</w:t>
      </w:r>
      <w:r w:rsidRPr="00F46EF2">
        <w:rPr>
          <w:rFonts w:ascii="Times New Roman" w:eastAsia="ＭＳ Ｐ明朝" w:hAnsi="Times New Roman" w:cs="Times New Roman"/>
          <w:sz w:val="18"/>
          <w:szCs w:val="18"/>
          <w:lang w:eastAsia="ja-JP"/>
        </w:rPr>
        <w:t>ガイドラインでは「コスト最小化アプローチ」とされているが、本報告書では「コスト最小化分析」とする。</w:t>
      </w:r>
      <w:r w:rsidRPr="00F46EF2">
        <w:rPr>
          <w:rFonts w:ascii="Times New Roman" w:eastAsia="ＭＳ Ｐ明朝" w:hAnsi="Times New Roman" w:cs="Times New Roman"/>
          <w:sz w:val="18"/>
          <w:szCs w:val="18"/>
          <w:lang w:eastAsia="ja-JP"/>
        </w:rPr>
        <w:t xml:space="preserve"> </w:t>
      </w:r>
    </w:p>
    <w:p w14:paraId="299A6144" w14:textId="77777777" w:rsidR="00FF745D" w:rsidRPr="00F46EF2" w:rsidRDefault="00000000" w:rsidP="00F46EF2">
      <w:pPr>
        <w:pStyle w:val="afc"/>
        <w:snapToGrid w:val="0"/>
        <w:spacing w:line="240" w:lineRule="atLeast"/>
        <w:rPr>
          <w:rFonts w:ascii="Times New Roman" w:eastAsia="ＭＳ Ｐ明朝" w:hAnsi="Times New Roman" w:cs="Times New Roman"/>
          <w:sz w:val="18"/>
          <w:szCs w:val="18"/>
          <w:lang w:eastAsia="ja-JP"/>
        </w:rPr>
      </w:pPr>
      <w:r w:rsidRPr="00F46EF2">
        <w:rPr>
          <w:rFonts w:ascii="Times New Roman" w:eastAsia="ＭＳ Ｐ明朝" w:hAnsi="Times New Roman" w:cs="Times New Roman"/>
          <w:sz w:val="18"/>
          <w:szCs w:val="18"/>
          <w:lang w:eastAsia="ja-JP"/>
        </w:rPr>
        <w:t xml:space="preserve">b </w:t>
      </w:r>
      <w:r w:rsidRPr="00F46EF2">
        <w:rPr>
          <w:rFonts w:ascii="Times New Roman" w:eastAsia="ＭＳ Ｐ明朝" w:hAnsi="Times New Roman" w:cs="Times New Roman"/>
          <w:sz w:val="18"/>
          <w:szCs w:val="18"/>
          <w:lang w:eastAsia="ja-JP"/>
        </w:rPr>
        <w:t>コスト結果分析</w:t>
      </w:r>
      <w:r w:rsidR="00185E3B" w:rsidRPr="00F46EF2">
        <w:rPr>
          <w:rFonts w:ascii="Times New Roman" w:eastAsia="ＭＳ Ｐ明朝" w:hAnsi="Times New Roman" w:cs="Times New Roman"/>
          <w:sz w:val="18"/>
          <w:szCs w:val="18"/>
          <w:lang w:eastAsia="ja-JP"/>
        </w:rPr>
        <w:t>（</w:t>
      </w:r>
      <w:r w:rsidR="00185E3B" w:rsidRPr="00F46EF2">
        <w:rPr>
          <w:rFonts w:ascii="Times New Roman" w:eastAsia="ＭＳ Ｐ明朝" w:hAnsi="Times New Roman" w:cs="Times New Roman"/>
          <w:sz w:val="18"/>
          <w:szCs w:val="18"/>
          <w:lang w:eastAsia="ja-JP"/>
        </w:rPr>
        <w:t>CCA</w:t>
      </w:r>
      <w:r w:rsidR="00185E3B" w:rsidRPr="00F46EF2">
        <w:rPr>
          <w:rFonts w:ascii="Times New Roman" w:eastAsia="ＭＳ Ｐ明朝" w:hAnsi="Times New Roman" w:cs="Times New Roman"/>
          <w:sz w:val="18"/>
          <w:szCs w:val="18"/>
          <w:lang w:eastAsia="ja-JP"/>
        </w:rPr>
        <w:t>）は、</w:t>
      </w:r>
      <w:r w:rsidRPr="00F46EF2">
        <w:rPr>
          <w:rFonts w:ascii="Times New Roman" w:eastAsia="ＭＳ Ｐ明朝" w:hAnsi="Times New Roman" w:cs="Times New Roman"/>
          <w:sz w:val="18"/>
          <w:szCs w:val="18"/>
          <w:lang w:eastAsia="ja-JP"/>
        </w:rPr>
        <w:t>MSAC</w:t>
      </w:r>
      <w:r w:rsidRPr="00F46EF2">
        <w:rPr>
          <w:rFonts w:ascii="Times New Roman" w:eastAsia="ＭＳ Ｐ明朝" w:hAnsi="Times New Roman" w:cs="Times New Roman"/>
          <w:sz w:val="18"/>
          <w:szCs w:val="18"/>
          <w:lang w:eastAsia="ja-JP"/>
        </w:rPr>
        <w:t>と</w:t>
      </w:r>
      <w:r w:rsidRPr="00F46EF2">
        <w:rPr>
          <w:rFonts w:ascii="Times New Roman" w:eastAsia="ＭＳ Ｐ明朝" w:hAnsi="Times New Roman" w:cs="Times New Roman"/>
          <w:sz w:val="18"/>
          <w:szCs w:val="18"/>
          <w:lang w:eastAsia="ja-JP"/>
        </w:rPr>
        <w:t>NICE</w:t>
      </w:r>
      <w:r w:rsidRPr="00F46EF2">
        <w:rPr>
          <w:rFonts w:ascii="Times New Roman" w:eastAsia="ＭＳ Ｐ明朝" w:hAnsi="Times New Roman" w:cs="Times New Roman"/>
          <w:sz w:val="18"/>
          <w:szCs w:val="18"/>
          <w:lang w:eastAsia="ja-JP"/>
        </w:rPr>
        <w:t>による医療技術の評価でのみ使用され、</w:t>
      </w:r>
      <w:r w:rsidRPr="00F46EF2">
        <w:rPr>
          <w:rFonts w:ascii="Times New Roman" w:eastAsia="ＭＳ Ｐ明朝" w:hAnsi="Times New Roman" w:cs="Times New Roman"/>
          <w:sz w:val="18"/>
          <w:szCs w:val="18"/>
          <w:lang w:eastAsia="ja-JP"/>
        </w:rPr>
        <w:t>SMC</w:t>
      </w:r>
      <w:r w:rsidRPr="00F46EF2">
        <w:rPr>
          <w:rFonts w:ascii="Times New Roman" w:eastAsia="ＭＳ Ｐ明朝" w:hAnsi="Times New Roman" w:cs="Times New Roman"/>
          <w:sz w:val="18"/>
          <w:szCs w:val="18"/>
          <w:lang w:eastAsia="ja-JP"/>
        </w:rPr>
        <w:t>では超異形医薬品のために考慮される。</w:t>
      </w:r>
      <w:r w:rsidR="00185E3B" w:rsidRPr="00F46EF2">
        <w:rPr>
          <w:rFonts w:ascii="Times New Roman" w:eastAsia="ＭＳ Ｐ明朝" w:hAnsi="Times New Roman" w:cs="Times New Roman"/>
          <w:sz w:val="18"/>
          <w:szCs w:val="18"/>
          <w:lang w:eastAsia="ja-JP"/>
        </w:rPr>
        <w:t>CCA</w:t>
      </w:r>
      <w:r w:rsidR="00185E3B" w:rsidRPr="00F46EF2">
        <w:rPr>
          <w:rFonts w:ascii="Times New Roman" w:eastAsia="ＭＳ Ｐ明朝" w:hAnsi="Times New Roman" w:cs="Times New Roman"/>
          <w:sz w:val="18"/>
          <w:szCs w:val="18"/>
          <w:lang w:eastAsia="ja-JP"/>
        </w:rPr>
        <w:t>は補足分析として提示されることが推奨される。</w:t>
      </w:r>
      <w:r w:rsidR="00185E3B" w:rsidRPr="00F46EF2">
        <w:rPr>
          <w:rFonts w:ascii="Times New Roman" w:eastAsia="ＭＳ Ｐ明朝" w:hAnsi="Times New Roman" w:cs="Times New Roman"/>
          <w:sz w:val="18"/>
          <w:szCs w:val="18"/>
          <w:lang w:eastAsia="ja-JP"/>
        </w:rPr>
        <w:t xml:space="preserve"> </w:t>
      </w:r>
    </w:p>
    <w:p w14:paraId="2292296C" w14:textId="77777777" w:rsidR="00FF745D" w:rsidRPr="00F46EF2" w:rsidRDefault="00000000" w:rsidP="00F46EF2">
      <w:pPr>
        <w:pStyle w:val="afc"/>
        <w:snapToGrid w:val="0"/>
        <w:spacing w:line="240" w:lineRule="atLeast"/>
        <w:rPr>
          <w:rFonts w:ascii="Times New Roman" w:eastAsia="ＭＳ Ｐ明朝" w:hAnsi="Times New Roman" w:cs="Times New Roman"/>
          <w:sz w:val="18"/>
          <w:szCs w:val="18"/>
          <w:lang w:eastAsia="ja-JP"/>
        </w:rPr>
      </w:pPr>
      <w:r w:rsidRPr="00F46EF2">
        <w:rPr>
          <w:rFonts w:ascii="Times New Roman" w:eastAsia="ＭＳ Ｐ明朝" w:hAnsi="Times New Roman" w:cs="Times New Roman"/>
          <w:sz w:val="18"/>
          <w:szCs w:val="18"/>
          <w:lang w:eastAsia="ja-JP"/>
        </w:rPr>
        <w:t>出典</w:t>
      </w:r>
      <w:r w:rsidRPr="00F46EF2">
        <w:rPr>
          <w:rFonts w:ascii="Times New Roman" w:eastAsia="ＭＳ Ｐ明朝" w:hAnsi="Times New Roman" w:cs="Times New Roman"/>
          <w:sz w:val="18"/>
          <w:szCs w:val="18"/>
          <w:lang w:eastAsia="ja-JP"/>
        </w:rPr>
        <w:t>PBAC</w:t>
      </w:r>
      <w:r w:rsidRPr="00F46EF2">
        <w:rPr>
          <w:rFonts w:ascii="Times New Roman" w:eastAsia="ＭＳ Ｐ明朝" w:hAnsi="Times New Roman" w:cs="Times New Roman"/>
          <w:sz w:val="18"/>
          <w:szCs w:val="18"/>
          <w:lang w:eastAsia="ja-JP"/>
        </w:rPr>
        <w:t>ガイドライン</w:t>
      </w:r>
      <w:r w:rsidR="00490A50" w:rsidRPr="00F46EF2">
        <w:rPr>
          <w:rFonts w:ascii="Times New Roman" w:eastAsia="ＭＳ Ｐ明朝" w:hAnsi="Times New Roman" w:cs="Times New Roman"/>
          <w:sz w:val="18"/>
          <w:szCs w:val="18"/>
          <w:lang w:eastAsia="ja-JP"/>
        </w:rPr>
        <w:t xml:space="preserve">2016 </w:t>
      </w:r>
      <w:r w:rsidR="00490A50" w:rsidRPr="00F46EF2">
        <w:rPr>
          <w:rFonts w:ascii="Times New Roman" w:eastAsia="ＭＳ Ｐ明朝" w:hAnsi="Times New Roman" w:cs="Times New Roman"/>
          <w:sz w:val="18"/>
          <w:szCs w:val="18"/>
        </w:rPr>
        <w:fldChar w:fldCharType="begin"/>
      </w:r>
      <w:r w:rsidR="00490A50" w:rsidRPr="00F46EF2">
        <w:rPr>
          <w:rFonts w:ascii="Times New Roman" w:eastAsia="ＭＳ Ｐ明朝" w:hAnsi="Times New Roman" w:cs="Times New Roman"/>
          <w:sz w:val="18"/>
          <w:szCs w:val="18"/>
          <w:lang w:eastAsia="ja-JP"/>
        </w:rPr>
        <w:instrText xml:space="preserve"> ADDIN EN.CITE &lt;EndNote&gt;&lt;Cite&gt;&lt;Author&gt;Australian Government&lt;/Author&gt;&lt;Year&gt;2016&lt;/Year&gt;&lt;RecNum&gt;153&lt;/RecNum&gt;&lt;DisplayText&gt;[1]&lt;/DisplayText&gt;&lt;record&gt;&lt;rec-number&gt;153&lt;/rec-number&gt;&lt;foreign-keys&gt;&lt;key app="EN" db-id="z25xddsz659sshedpdu5pda3dswx20f99sf9" timestamp="1692002023"&gt;153&lt;/key&gt;&lt;/foreign-keys&gt;&lt;ref-type name="Web Page"&gt;12&lt;/ref-type&gt;&lt;contributors&gt;&lt;authors&gt;&lt;author&gt;Australian Government,&lt;/author&gt;&lt;/authors&gt;&lt;secondary-authors&gt;&lt;author&gt;Department of Health and Aged Care,&lt;/author&gt;&lt;/secondary-authors&gt;&lt;/contributors&gt;&lt;titles&gt;&lt;title&gt;Guidelines for preparing submissions to the Pharmaceutical Benefits Advisory Committee (PBAC)&lt;/title&gt;&lt;/titles&gt;&lt;volume&gt;2023&lt;/volume&gt;&lt;number&gt;7 June&lt;/number&gt;&lt;dates&gt;&lt;year&gt;2016&lt;/year&gt;&lt;/dates&gt;&lt;urls&gt;&lt;related-urls&gt;&lt;url&gt;https://pbac.pbs.gov.au/&lt;/url&gt;&lt;/related-urls&gt;&lt;/urls&gt;&lt;/record&gt;&lt;/Cite&gt;&lt;/EndNote&gt;</w:instrText>
      </w:r>
      <w:r w:rsidR="00490A50" w:rsidRPr="00F46EF2">
        <w:rPr>
          <w:rFonts w:ascii="Times New Roman" w:eastAsia="ＭＳ Ｐ明朝" w:hAnsi="Times New Roman" w:cs="Times New Roman"/>
          <w:sz w:val="18"/>
          <w:szCs w:val="18"/>
        </w:rPr>
        <w:fldChar w:fldCharType="separate"/>
      </w:r>
      <w:r w:rsidR="00490A50" w:rsidRPr="00F46EF2">
        <w:rPr>
          <w:rFonts w:ascii="Times New Roman" w:eastAsia="ＭＳ Ｐ明朝" w:hAnsi="Times New Roman" w:cs="Times New Roman"/>
          <w:noProof/>
          <w:sz w:val="18"/>
          <w:szCs w:val="18"/>
          <w:lang w:eastAsia="ja-JP"/>
        </w:rPr>
        <w:t>[1]</w:t>
      </w:r>
      <w:r w:rsidR="00490A50"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MSAC</w:t>
      </w:r>
      <w:r w:rsidRPr="00F46EF2">
        <w:rPr>
          <w:rFonts w:ascii="Times New Roman" w:eastAsia="ＭＳ Ｐ明朝" w:hAnsi="Times New Roman" w:cs="Times New Roman"/>
          <w:sz w:val="18"/>
          <w:szCs w:val="18"/>
          <w:lang w:eastAsia="ja-JP"/>
        </w:rPr>
        <w:t>ガイドライン</w:t>
      </w:r>
      <w:r w:rsidR="000518ED" w:rsidRPr="00F46EF2">
        <w:rPr>
          <w:rFonts w:ascii="Times New Roman" w:eastAsia="ＭＳ Ｐ明朝" w:hAnsi="Times New Roman" w:cs="Times New Roman"/>
          <w:sz w:val="18"/>
          <w:szCs w:val="18"/>
          <w:lang w:eastAsia="ja-JP"/>
        </w:rPr>
        <w:t xml:space="preserve">2021 </w:t>
      </w:r>
      <w:r w:rsidR="009D196D" w:rsidRPr="00F46EF2">
        <w:rPr>
          <w:rFonts w:ascii="Times New Roman" w:eastAsia="ＭＳ Ｐ明朝" w:hAnsi="Times New Roman" w:cs="Times New Roman"/>
          <w:sz w:val="18"/>
          <w:szCs w:val="18"/>
        </w:rPr>
        <w:fldChar w:fldCharType="begin"/>
      </w:r>
      <w:r w:rsidR="009D196D" w:rsidRPr="00F46EF2">
        <w:rPr>
          <w:rFonts w:ascii="Times New Roman" w:eastAsia="ＭＳ Ｐ明朝" w:hAnsi="Times New Roman" w:cs="Times New Roman"/>
          <w:sz w:val="18"/>
          <w:szCs w:val="18"/>
          <w:lang w:eastAsia="ja-JP"/>
        </w:rPr>
        <w:instrText xml:space="preserve"> ADDIN EN.CITE &lt;EndNote&gt;&lt;Cite&gt;&lt;Author&gt;Australian Government&lt;/Author&gt;&lt;Year&gt;2021&lt;/Year&gt;&lt;RecNum&gt;157&lt;/RecNum&gt;&lt;DisplayText&gt;[2]&lt;/DisplayText&gt;&lt;record&gt;&lt;rec-number&gt;157&lt;/rec-number&gt;&lt;foreign-keys&gt;&lt;key app="EN" db-id="z25xddsz659sshedpdu5pda3dswx20f99sf9" timestamp="1692002023"&gt;157&lt;/key&gt;&lt;/foreign-keys&gt;&lt;ref-type name="Web Page"&gt;12&lt;/ref-type&gt;&lt;contributors&gt;&lt;authors&gt;&lt;author&gt;Australian Government,&lt;/author&gt;&lt;/authors&gt;&lt;secondary-authors&gt;&lt;author&gt;Department of Health and Aged Care,&lt;/author&gt;&lt;/secondary-authors&gt;&lt;/contributors&gt;&lt;titles&gt;&lt;title&gt;Guidelines for preparing assessments for the Medical Services Advisory Committee, Version 1.0&lt;/title&gt;&lt;/titles&gt;&lt;volume&gt;2023&lt;/volume&gt;&lt;number&gt;7 June&lt;/number&gt;&lt;dates&gt;&lt;year&gt;2021&lt;/year&gt;&lt;/dates&gt;&lt;urls&gt;&lt;related-urls&gt;&lt;url&gt;http://www.msac.gov.au/internet/msac/publishing.nsf/Content/MSAC-Guidelines&lt;/url&gt;&lt;/related-urls&gt;&lt;/urls&gt;&lt;/record&gt;&lt;/Cite&gt;&lt;/EndNote&gt;</w:instrText>
      </w:r>
      <w:r w:rsidR="009D196D" w:rsidRPr="00F46EF2">
        <w:rPr>
          <w:rFonts w:ascii="Times New Roman" w:eastAsia="ＭＳ Ｐ明朝" w:hAnsi="Times New Roman" w:cs="Times New Roman"/>
          <w:sz w:val="18"/>
          <w:szCs w:val="18"/>
        </w:rPr>
        <w:fldChar w:fldCharType="separate"/>
      </w:r>
      <w:r w:rsidR="009D196D" w:rsidRPr="00F46EF2">
        <w:rPr>
          <w:rFonts w:ascii="Times New Roman" w:eastAsia="ＭＳ Ｐ明朝" w:hAnsi="Times New Roman" w:cs="Times New Roman"/>
          <w:noProof/>
          <w:sz w:val="18"/>
          <w:szCs w:val="18"/>
          <w:lang w:eastAsia="ja-JP"/>
        </w:rPr>
        <w:t>[2]</w:t>
      </w:r>
      <w:r w:rsidR="009D196D"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NICE</w:t>
      </w:r>
      <w:r w:rsidRPr="00F46EF2">
        <w:rPr>
          <w:rFonts w:ascii="Times New Roman" w:eastAsia="ＭＳ Ｐ明朝" w:hAnsi="Times New Roman" w:cs="Times New Roman"/>
          <w:sz w:val="18"/>
          <w:szCs w:val="18"/>
          <w:lang w:eastAsia="ja-JP"/>
        </w:rPr>
        <w:t>ガイドライン</w:t>
      </w:r>
      <w:r w:rsidR="009D196D" w:rsidRPr="00F46EF2">
        <w:rPr>
          <w:rFonts w:ascii="Times New Roman" w:eastAsia="ＭＳ Ｐ明朝" w:hAnsi="Times New Roman" w:cs="Times New Roman"/>
          <w:sz w:val="18"/>
          <w:szCs w:val="18"/>
          <w:lang w:eastAsia="ja-JP"/>
        </w:rPr>
        <w:t xml:space="preserve">2022 </w:t>
      </w:r>
      <w:r w:rsidR="00404C0D" w:rsidRPr="00F46EF2">
        <w:rPr>
          <w:rFonts w:ascii="Times New Roman" w:eastAsia="ＭＳ Ｐ明朝" w:hAnsi="Times New Roman" w:cs="Times New Roman"/>
          <w:sz w:val="18"/>
          <w:szCs w:val="18"/>
        </w:rPr>
        <w:fldChar w:fldCharType="begin"/>
      </w:r>
      <w:r w:rsidR="00404C0D" w:rsidRPr="00F46EF2">
        <w:rPr>
          <w:rFonts w:ascii="Times New Roman" w:eastAsia="ＭＳ Ｐ明朝" w:hAnsi="Times New Roman" w:cs="Times New Roman"/>
          <w:sz w:val="18"/>
          <w:szCs w:val="18"/>
          <w:lang w:eastAsia="ja-JP"/>
        </w:rPr>
        <w:instrText xml:space="preserve"> ADDIN EN.CITE &lt;EndNote&gt;&lt;Cite&gt;&lt;Author&gt;National Institute for Health Care Excellence&lt;/Author&gt;&lt;Year&gt;2022&lt;/Year&gt;&lt;RecNum&gt;91&lt;/RecNum&gt;&lt;DisplayText&gt;[3]&lt;/DisplayText&gt;&lt;record&gt;&lt;rec-number&gt;91&lt;/rec-number&gt;&lt;foreign-keys&gt;&lt;key app="EN" db-id="z25xddsz659sshedpdu5pda3dswx20f99sf9" timestamp="1692001886"&gt;91&lt;/key&gt;&lt;/foreign-keys&gt;&lt;ref-type name="Government Document"&gt;46&lt;/ref-type&gt;&lt;contributors&gt;&lt;authors&gt;&lt;author&gt;National Institute for Health Care Excellence, &lt;/author&gt;&lt;/authors&gt;&lt;/contributors&gt;&lt;titles&gt;&lt;title&gt;NICE health technology evaluations: the manual&lt;/title&gt;&lt;/titles&gt;&lt;dates&gt;&lt;year&gt;2022&lt;/year&gt;&lt;/dates&gt;&lt;urls&gt;&lt;/urls&gt;&lt;/record&gt;&lt;/Cite&gt;&lt;/EndNote&gt;</w:instrText>
      </w:r>
      <w:r w:rsidR="00404C0D" w:rsidRPr="00F46EF2">
        <w:rPr>
          <w:rFonts w:ascii="Times New Roman" w:eastAsia="ＭＳ Ｐ明朝" w:hAnsi="Times New Roman" w:cs="Times New Roman"/>
          <w:sz w:val="18"/>
          <w:szCs w:val="18"/>
        </w:rPr>
        <w:fldChar w:fldCharType="separate"/>
      </w:r>
      <w:r w:rsidR="00404C0D" w:rsidRPr="00F46EF2">
        <w:rPr>
          <w:rFonts w:ascii="Times New Roman" w:eastAsia="ＭＳ Ｐ明朝" w:hAnsi="Times New Roman" w:cs="Times New Roman"/>
          <w:noProof/>
          <w:sz w:val="18"/>
          <w:szCs w:val="18"/>
          <w:lang w:eastAsia="ja-JP"/>
        </w:rPr>
        <w:t>[3]</w:t>
      </w:r>
      <w:r w:rsidR="00404C0D"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SMC</w:t>
      </w:r>
      <w:r w:rsidRPr="00F46EF2">
        <w:rPr>
          <w:rFonts w:ascii="Times New Roman" w:eastAsia="ＭＳ Ｐ明朝" w:hAnsi="Times New Roman" w:cs="Times New Roman"/>
          <w:sz w:val="18"/>
          <w:szCs w:val="18"/>
          <w:lang w:eastAsia="ja-JP"/>
        </w:rPr>
        <w:t>ガイドライン</w:t>
      </w:r>
      <w:r w:rsidR="00404C0D" w:rsidRPr="00F46EF2">
        <w:rPr>
          <w:rFonts w:ascii="Times New Roman" w:eastAsia="ＭＳ Ｐ明朝" w:hAnsi="Times New Roman" w:cs="Times New Roman"/>
          <w:sz w:val="18"/>
          <w:szCs w:val="18"/>
          <w:lang w:eastAsia="ja-JP"/>
        </w:rPr>
        <w:t>2018</w:t>
      </w:r>
      <w:r w:rsidR="00404C0D" w:rsidRPr="00F46EF2">
        <w:rPr>
          <w:rFonts w:ascii="Times New Roman" w:eastAsia="ＭＳ Ｐ明朝" w:hAnsi="Times New Roman" w:cs="Times New Roman"/>
          <w:sz w:val="18"/>
          <w:szCs w:val="18"/>
          <w:lang w:eastAsia="ja-JP"/>
        </w:rPr>
        <w:t>年および</w:t>
      </w:r>
      <w:r w:rsidR="00404C0D" w:rsidRPr="00F46EF2">
        <w:rPr>
          <w:rFonts w:ascii="Times New Roman" w:eastAsia="ＭＳ Ｐ明朝" w:hAnsi="Times New Roman" w:cs="Times New Roman"/>
          <w:sz w:val="18"/>
          <w:szCs w:val="18"/>
          <w:lang w:eastAsia="ja-JP"/>
        </w:rPr>
        <w:t>2022</w:t>
      </w:r>
      <w:r w:rsidR="00404C0D" w:rsidRPr="00F46EF2">
        <w:rPr>
          <w:rFonts w:ascii="Times New Roman" w:eastAsia="ＭＳ Ｐ明朝" w:hAnsi="Times New Roman" w:cs="Times New Roman"/>
          <w:sz w:val="18"/>
          <w:szCs w:val="18"/>
          <w:lang w:eastAsia="ja-JP"/>
        </w:rPr>
        <w:t>年</w:t>
      </w:r>
      <w:r w:rsidR="00404C0D" w:rsidRPr="00F46EF2">
        <w:rPr>
          <w:rFonts w:ascii="Times New Roman" w:eastAsia="ＭＳ Ｐ明朝" w:hAnsi="Times New Roman" w:cs="Times New Roman"/>
          <w:sz w:val="18"/>
          <w:szCs w:val="18"/>
          <w:lang w:eastAsia="ja-JP"/>
        </w:rPr>
        <w:t xml:space="preserve"> </w:t>
      </w:r>
      <w:r w:rsidR="00404C0D" w:rsidRPr="00F46EF2">
        <w:rPr>
          <w:rFonts w:ascii="Times New Roman" w:eastAsia="ＭＳ Ｐ明朝" w:hAnsi="Times New Roman" w:cs="Times New Roman"/>
          <w:sz w:val="18"/>
          <w:szCs w:val="18"/>
        </w:rPr>
        <w:fldChar w:fldCharType="begin"/>
      </w:r>
      <w:r w:rsidR="00404C0D" w:rsidRPr="00F46EF2">
        <w:rPr>
          <w:rFonts w:ascii="Times New Roman" w:eastAsia="ＭＳ Ｐ明朝" w:hAnsi="Times New Roman" w:cs="Times New Roman"/>
          <w:sz w:val="18"/>
          <w:szCs w:val="18"/>
          <w:lang w:eastAsia="ja-JP"/>
        </w:rPr>
        <w:instrText xml:space="preserve"> ADDIN EN.CITE &lt;EndNote&gt;&lt;Cite&gt;&lt;Author&gt;Scottish Medicines Consortium&lt;/Author&gt;&lt;Year&gt;2018&lt;/Year&gt;&lt;RecNum&gt;258&lt;/RecNum&gt;&lt;DisplayText&gt;[4, 5]&lt;/DisplayText&gt;&lt;record&gt;&lt;rec-number&gt;258&lt;/rec-number&gt;&lt;foreign-keys&gt;&lt;key app="EN" db-id="z25xddsz659sshedpdu5pda3dswx20f99sf9" timestamp="1695266198"&gt;258&lt;/key&gt;&lt;/foreign-keys&gt;&lt;ref-type name="Government Document"&gt;46&lt;/ref-type&gt;&lt;contributors&gt;&lt;authors&gt;&lt;author&gt;Scottish Medicines Consortium,&lt;/author&gt;&lt;/authors&gt;&lt;secondary-authors&gt;&lt;author&gt;Scottish Medicines Consortium,&lt;/author&gt;&lt;/secondary-authors&gt;&lt;/contributors&gt;&lt;titles&gt;&lt;title&gt;Guidance to Submitting Companies for Completion of New Product Assessment Form (NPAF). Supplement for medicines for extremely rare conditions (ultra-orphan medicines).&lt;/title&gt;&lt;/titles&gt;&lt;dates&gt;&lt;year&gt;2018&lt;/year&gt;&lt;/dates&gt;&lt;publisher&gt;Healthcare Improvement Scotland&lt;/publisher&gt;&lt;urls&gt;&lt;/urls&gt;&lt;/record&gt;&lt;/Cite&gt;&lt;Cite&gt;&lt;Author&gt;Scottish Medicines Consortium&lt;/Author&gt;&lt;Year&gt;2022&lt;/Year&gt;&lt;RecNum&gt;227&lt;/RecNum&gt;&lt;record&gt;&lt;rec-number&gt;227&lt;/rec-number&gt;&lt;foreign-keys&gt;&lt;key app="EN" db-id="z25xddsz659sshedpdu5pda3dswx20f99sf9" timestamp="1692002023"&gt;227&lt;/key&gt;&lt;/foreign-keys&gt;&lt;ref-type name="Generic"&gt;13&lt;/ref-type&gt;&lt;contributors&gt;&lt;authors&gt;&lt;author&gt;Scottish Medicines Consortium,&lt;/author&gt;&lt;/authors&gt;&lt;/contributors&gt;&lt;titles&gt;&lt;title&gt;Guidance to submitting companies for completion of New Product Assessment Form (NPAF)&lt;/title&gt;&lt;/titles&gt;&lt;dates&gt;&lt;year&gt;2022&lt;/year&gt;&lt;/dates&gt;&lt;urls&gt;&lt;/urls&gt;&lt;/record&gt;&lt;/Cite&gt;&lt;/EndNote&gt;</w:instrText>
      </w:r>
      <w:r w:rsidR="00404C0D" w:rsidRPr="00F46EF2">
        <w:rPr>
          <w:rFonts w:ascii="Times New Roman" w:eastAsia="ＭＳ Ｐ明朝" w:hAnsi="Times New Roman" w:cs="Times New Roman"/>
          <w:sz w:val="18"/>
          <w:szCs w:val="18"/>
        </w:rPr>
        <w:fldChar w:fldCharType="separate"/>
      </w:r>
      <w:r w:rsidR="00404C0D" w:rsidRPr="00F46EF2">
        <w:rPr>
          <w:rFonts w:ascii="Times New Roman" w:eastAsia="ＭＳ Ｐ明朝" w:hAnsi="Times New Roman" w:cs="Times New Roman"/>
          <w:noProof/>
          <w:sz w:val="18"/>
          <w:szCs w:val="18"/>
          <w:lang w:eastAsia="ja-JP"/>
        </w:rPr>
        <w:t>[4, 5]</w:t>
      </w:r>
      <w:r w:rsidR="00404C0D"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CADTH</w:t>
      </w:r>
      <w:r w:rsidRPr="00F46EF2">
        <w:rPr>
          <w:rFonts w:ascii="Times New Roman" w:eastAsia="ＭＳ Ｐ明朝" w:hAnsi="Times New Roman" w:cs="Times New Roman"/>
          <w:sz w:val="18"/>
          <w:szCs w:val="18"/>
          <w:lang w:eastAsia="ja-JP"/>
        </w:rPr>
        <w:t>ガイドライン</w:t>
      </w:r>
      <w:r w:rsidR="002D6B73" w:rsidRPr="00F46EF2">
        <w:rPr>
          <w:rFonts w:ascii="Times New Roman" w:eastAsia="ＭＳ Ｐ明朝" w:hAnsi="Times New Roman" w:cs="Times New Roman"/>
          <w:sz w:val="18"/>
          <w:szCs w:val="18"/>
          <w:lang w:eastAsia="ja-JP"/>
        </w:rPr>
        <w:t xml:space="preserve">2017 </w:t>
      </w:r>
      <w:r w:rsidR="002D6B73" w:rsidRPr="00F46EF2">
        <w:rPr>
          <w:rFonts w:ascii="Times New Roman" w:eastAsia="ＭＳ Ｐ明朝" w:hAnsi="Times New Roman" w:cs="Times New Roman"/>
          <w:sz w:val="18"/>
          <w:szCs w:val="18"/>
        </w:rPr>
        <w:fldChar w:fldCharType="begin"/>
      </w:r>
      <w:r w:rsidR="002D6B73" w:rsidRPr="00F46EF2">
        <w:rPr>
          <w:rFonts w:ascii="Times New Roman" w:eastAsia="ＭＳ Ｐ明朝" w:hAnsi="Times New Roman" w:cs="Times New Roman"/>
          <w:sz w:val="18"/>
          <w:szCs w:val="18"/>
          <w:lang w:eastAsia="ja-JP"/>
        </w:rPr>
        <w:instrText xml:space="preserve"> ADDIN EN.CITE &lt;EndNote&gt;&lt;Cite&gt;&lt;Author&gt;Canadian Agency for Drugs and Technologies in Health&lt;/Author&gt;&lt;Year&gt;2017&lt;/Year&gt;&lt;RecNum&gt;131&lt;/RecNum&gt;&lt;DisplayText&gt;[6]&lt;/DisplayText&gt;&lt;record&gt;&lt;rec-number&gt;131&lt;/rec-number&gt;&lt;foreign-keys&gt;&lt;key app="EN" db-id="z25xddsz659sshedpdu5pda3dswx20f99sf9" timestamp="1692002023"&gt;131&lt;/key&gt;&lt;/foreign-keys&gt;&lt;ref-type name="Generic"&gt;13&lt;/ref-type&gt;&lt;contributors&gt;&lt;authors&gt;&lt;author&gt;Canadian Agency for Drugs and Technologies in Health,&lt;/author&gt;&lt;/authors&gt;&lt;/contributors&gt;&lt;titles&gt;&lt;title&gt;Guidelines for the economic evaluation of health technologies: Canada. 4th ed&lt;/title&gt;&lt;/titles&gt;&lt;dates&gt;&lt;year&gt;2017&lt;/year&gt;&lt;/dates&gt;&lt;urls&gt;&lt;/urls&gt;&lt;/record&gt;&lt;/Cite&gt;&lt;/EndNote&gt;</w:instrText>
      </w:r>
      <w:r w:rsidR="002D6B73" w:rsidRPr="00F46EF2">
        <w:rPr>
          <w:rFonts w:ascii="Times New Roman" w:eastAsia="ＭＳ Ｐ明朝" w:hAnsi="Times New Roman" w:cs="Times New Roman"/>
          <w:sz w:val="18"/>
          <w:szCs w:val="18"/>
        </w:rPr>
        <w:fldChar w:fldCharType="separate"/>
      </w:r>
      <w:r w:rsidR="002D6B73" w:rsidRPr="00F46EF2">
        <w:rPr>
          <w:rFonts w:ascii="Times New Roman" w:eastAsia="ＭＳ Ｐ明朝" w:hAnsi="Times New Roman" w:cs="Times New Roman"/>
          <w:noProof/>
          <w:sz w:val="18"/>
          <w:szCs w:val="18"/>
          <w:lang w:eastAsia="ja-JP"/>
        </w:rPr>
        <w:t>[6]</w:t>
      </w:r>
      <w:r w:rsidR="002D6B73"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PHARMAC</w:t>
      </w:r>
      <w:r w:rsidRPr="00F46EF2">
        <w:rPr>
          <w:rFonts w:ascii="Times New Roman" w:eastAsia="ＭＳ Ｐ明朝" w:hAnsi="Times New Roman" w:cs="Times New Roman"/>
          <w:sz w:val="18"/>
          <w:szCs w:val="18"/>
          <w:lang w:eastAsia="ja-JP"/>
        </w:rPr>
        <w:t>ガイドライン</w:t>
      </w:r>
      <w:r w:rsidR="002D6B73" w:rsidRPr="00F46EF2">
        <w:rPr>
          <w:rFonts w:ascii="Times New Roman" w:eastAsia="ＭＳ Ｐ明朝" w:hAnsi="Times New Roman" w:cs="Times New Roman"/>
          <w:sz w:val="18"/>
          <w:szCs w:val="18"/>
          <w:lang w:eastAsia="ja-JP"/>
        </w:rPr>
        <w:t xml:space="preserve">2015 </w:t>
      </w:r>
      <w:r w:rsidR="002D6B73" w:rsidRPr="00F46EF2">
        <w:rPr>
          <w:rFonts w:ascii="Times New Roman" w:eastAsia="ＭＳ Ｐ明朝" w:hAnsi="Times New Roman" w:cs="Times New Roman"/>
          <w:sz w:val="18"/>
          <w:szCs w:val="18"/>
        </w:rPr>
        <w:fldChar w:fldCharType="begin"/>
      </w:r>
      <w:r w:rsidR="002D6B73" w:rsidRPr="00F46EF2">
        <w:rPr>
          <w:rFonts w:ascii="Times New Roman" w:eastAsia="ＭＳ Ｐ明朝" w:hAnsi="Times New Roman" w:cs="Times New Roman"/>
          <w:sz w:val="18"/>
          <w:szCs w:val="18"/>
          <w:lang w:eastAsia="ja-JP"/>
        </w:rPr>
        <w:instrText xml:space="preserve"> ADDIN EN.CITE &lt;EndNote&gt;&lt;Cite&gt;&lt;Author&gt;Pharmaceutical Management Agency (PHARMAC New Zealand)&lt;/Author&gt;&lt;Year&gt;2015&lt;/Year&gt;&lt;RecNum&gt;9&lt;/RecNum&gt;&lt;DisplayText&gt;[7]&lt;/DisplayText&gt;&lt;record&gt;&lt;rec-number&gt;9&lt;/rec-number&gt;&lt;foreign-keys&gt;&lt;key app="EN" db-id="z25xddsz659sshedpdu5pda3dswx20f99sf9" timestamp="1692001880"&gt;9&lt;/key&gt;&lt;/foreign-keys&gt;&lt;ref-type name="Journal Article"&gt;17&lt;/ref-type&gt;&lt;contributors&gt;&lt;authors&gt;&lt;author&gt;Pharmaceutical Management Agency (PHARMAC New Zealand),&lt;/author&gt;&lt;/authors&gt;&lt;/contributors&gt;&lt;titles&gt;&lt;title&gt;Prescription for Pharmacoeconomic Analysis, Methods for cost-utility analysis. version 2.2.&lt;/title&gt;&lt;/titles&gt;&lt;dates&gt;&lt;year&gt;2015&lt;/year&gt;&lt;/dates&gt;&lt;urls&gt;&lt;related-urls&gt;&lt;url&gt;https://pharmac.govt.nz/medicine-funding-and-supply/the-funding-process/policies-manuals-and-processes/economic-analysis/prescription-for-pharmacoeconomic-analysis-methods-for-cost-utility-analysis/#foreward&lt;/url&gt;&lt;/related-urls&gt;&lt;/urls&gt;&lt;/record&gt;&lt;/Cite&gt;&lt;/EndNote&gt;</w:instrText>
      </w:r>
      <w:r w:rsidR="002D6B73" w:rsidRPr="00F46EF2">
        <w:rPr>
          <w:rFonts w:ascii="Times New Roman" w:eastAsia="ＭＳ Ｐ明朝" w:hAnsi="Times New Roman" w:cs="Times New Roman"/>
          <w:sz w:val="18"/>
          <w:szCs w:val="18"/>
        </w:rPr>
        <w:fldChar w:fldCharType="separate"/>
      </w:r>
      <w:r w:rsidR="002D6B73" w:rsidRPr="00F46EF2">
        <w:rPr>
          <w:rFonts w:ascii="Times New Roman" w:eastAsia="ＭＳ Ｐ明朝" w:hAnsi="Times New Roman" w:cs="Times New Roman"/>
          <w:noProof/>
          <w:sz w:val="18"/>
          <w:szCs w:val="18"/>
          <w:lang w:eastAsia="ja-JP"/>
        </w:rPr>
        <w:t>[7]</w:t>
      </w:r>
      <w:proofErr w:type="spellStart"/>
      <w:r w:rsidR="002D6B73" w:rsidRPr="00F46EF2">
        <w:rPr>
          <w:rFonts w:ascii="Times New Roman" w:eastAsia="ＭＳ Ｐ明朝" w:hAnsi="Times New Roman" w:cs="Times New Roman"/>
          <w:sz w:val="18"/>
          <w:szCs w:val="18"/>
        </w:rPr>
        <w:fldChar w:fldCharType="end"/>
      </w:r>
      <w:r w:rsidR="009C00FC" w:rsidRPr="00F46EF2">
        <w:rPr>
          <w:rFonts w:ascii="Times New Roman" w:eastAsia="ＭＳ Ｐ明朝" w:hAnsi="Times New Roman" w:cs="Times New Roman"/>
          <w:sz w:val="18"/>
          <w:szCs w:val="18"/>
          <w:lang w:eastAsia="ja-JP"/>
        </w:rPr>
        <w:t>EUNetHTA</w:t>
      </w:r>
      <w:proofErr w:type="spellEnd"/>
      <w:r w:rsidR="009C00FC" w:rsidRPr="00F46EF2">
        <w:rPr>
          <w:rFonts w:ascii="Times New Roman" w:eastAsia="ＭＳ Ｐ明朝" w:hAnsi="Times New Roman" w:cs="Times New Roman"/>
          <w:sz w:val="18"/>
          <w:szCs w:val="18"/>
          <w:lang w:eastAsia="ja-JP"/>
        </w:rPr>
        <w:t xml:space="preserve"> </w:t>
      </w:r>
      <w:r w:rsidR="009C00FC" w:rsidRPr="00F46EF2">
        <w:rPr>
          <w:rFonts w:ascii="Times New Roman" w:eastAsia="ＭＳ Ｐ明朝" w:hAnsi="Times New Roman" w:cs="Times New Roman"/>
          <w:sz w:val="18"/>
          <w:szCs w:val="18"/>
          <w:lang w:eastAsia="ja-JP"/>
        </w:rPr>
        <w:t>ガイダンス文書</w:t>
      </w:r>
      <w:r w:rsidR="009C00FC" w:rsidRPr="00F46EF2">
        <w:rPr>
          <w:rFonts w:ascii="Times New Roman" w:eastAsia="ＭＳ Ｐ明朝" w:hAnsi="Times New Roman" w:cs="Times New Roman"/>
          <w:sz w:val="18"/>
          <w:szCs w:val="18"/>
          <w:lang w:eastAsia="ja-JP"/>
        </w:rPr>
        <w:t xml:space="preserve"> </w:t>
      </w:r>
      <w:r w:rsidR="002D6B73" w:rsidRPr="00F46EF2">
        <w:rPr>
          <w:rFonts w:ascii="Times New Roman" w:eastAsia="ＭＳ Ｐ明朝" w:hAnsi="Times New Roman" w:cs="Times New Roman"/>
          <w:sz w:val="18"/>
          <w:szCs w:val="18"/>
          <w:lang w:eastAsia="ja-JP"/>
        </w:rPr>
        <w:t xml:space="preserve">2015 </w:t>
      </w:r>
      <w:r w:rsidR="002D6B73" w:rsidRPr="00F46EF2">
        <w:rPr>
          <w:rFonts w:ascii="Times New Roman" w:eastAsia="ＭＳ Ｐ明朝" w:hAnsi="Times New Roman" w:cs="Times New Roman"/>
          <w:sz w:val="18"/>
          <w:szCs w:val="18"/>
        </w:rPr>
        <w:fldChar w:fldCharType="begin"/>
      </w:r>
      <w:r w:rsidR="002D6B73" w:rsidRPr="00F46EF2">
        <w:rPr>
          <w:rFonts w:ascii="Times New Roman" w:eastAsia="ＭＳ Ｐ明朝" w:hAnsi="Times New Roman" w:cs="Times New Roman"/>
          <w:sz w:val="18"/>
          <w:szCs w:val="18"/>
          <w:lang w:eastAsia="ja-JP"/>
        </w:rPr>
        <w:instrText xml:space="preserve"> ADDIN EN.CITE &lt;EndNote&gt;&lt;Cite&gt;&lt;Author&gt;European Network for Health Technology Assessment&lt;/Author&gt;&lt;Year&gt;2015&lt;/Year&gt;&lt;RecNum&gt;112&lt;/RecNum&gt;&lt;DisplayText&gt;[8]&lt;/DisplayText&gt;&lt;record&gt;&lt;rec-number&gt;112&lt;/rec-number&gt;&lt;foreign-keys&gt;&lt;key app="EN" db-id="z25xddsz659sshedpdu5pda3dswx20f99sf9" timestamp="1692002023"&gt;112&lt;/key&gt;&lt;/foreign-keys&gt;&lt;ref-type name="Generic"&gt;13&lt;/ref-type&gt;&lt;contributors&gt;&lt;authors&gt;&lt;author&gt;European Network for Health Technology Assessment,&lt;/author&gt;&lt;/authors&gt;&lt;/contributors&gt;&lt;titles&gt;&lt;title&gt;Methods for health economic evaluations-A guideline based on current practices in Europe&lt;/title&gt;&lt;/titles&gt;&lt;dates&gt;&lt;year&gt;2015&lt;/year&gt;&lt;/dates&gt;&lt;publisher&gt;May&lt;/publisher&gt;&lt;urls&gt;&lt;/urls&gt;&lt;/record&gt;&lt;/Cite&gt;&lt;/EndNote&gt;</w:instrText>
      </w:r>
      <w:r w:rsidR="002D6B73" w:rsidRPr="00F46EF2">
        <w:rPr>
          <w:rFonts w:ascii="Times New Roman" w:eastAsia="ＭＳ Ｐ明朝" w:hAnsi="Times New Roman" w:cs="Times New Roman"/>
          <w:sz w:val="18"/>
          <w:szCs w:val="18"/>
        </w:rPr>
        <w:fldChar w:fldCharType="separate"/>
      </w:r>
      <w:r w:rsidR="002D6B73" w:rsidRPr="00F46EF2">
        <w:rPr>
          <w:rFonts w:ascii="Times New Roman" w:eastAsia="ＭＳ Ｐ明朝" w:hAnsi="Times New Roman" w:cs="Times New Roman"/>
          <w:noProof/>
          <w:sz w:val="18"/>
          <w:szCs w:val="18"/>
          <w:lang w:eastAsia="ja-JP"/>
        </w:rPr>
        <w:t>[8]</w:t>
      </w:r>
      <w:r w:rsidR="002D6B73"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HAS</w:t>
      </w:r>
      <w:r w:rsidRPr="00F46EF2">
        <w:rPr>
          <w:rFonts w:ascii="Times New Roman" w:eastAsia="ＭＳ Ｐ明朝" w:hAnsi="Times New Roman" w:cs="Times New Roman"/>
          <w:sz w:val="18"/>
          <w:szCs w:val="18"/>
          <w:lang w:eastAsia="ja-JP"/>
        </w:rPr>
        <w:t>ガイドライン</w:t>
      </w:r>
      <w:r w:rsidR="002D6B73" w:rsidRPr="00F46EF2">
        <w:rPr>
          <w:rFonts w:ascii="Times New Roman" w:eastAsia="ＭＳ Ｐ明朝" w:hAnsi="Times New Roman" w:cs="Times New Roman"/>
          <w:sz w:val="18"/>
          <w:szCs w:val="18"/>
          <w:lang w:eastAsia="ja-JP"/>
        </w:rPr>
        <w:t xml:space="preserve">2020 </w:t>
      </w:r>
      <w:r w:rsidR="002D6B73" w:rsidRPr="00F46EF2">
        <w:rPr>
          <w:rFonts w:ascii="Times New Roman" w:eastAsia="ＭＳ Ｐ明朝" w:hAnsi="Times New Roman" w:cs="Times New Roman"/>
          <w:sz w:val="18"/>
          <w:szCs w:val="18"/>
        </w:rPr>
        <w:fldChar w:fldCharType="begin"/>
      </w:r>
      <w:r w:rsidR="002D6B73" w:rsidRPr="00F46EF2">
        <w:rPr>
          <w:rFonts w:ascii="Times New Roman" w:eastAsia="ＭＳ Ｐ明朝" w:hAnsi="Times New Roman" w:cs="Times New Roman"/>
          <w:sz w:val="18"/>
          <w:szCs w:val="18"/>
          <w:lang w:eastAsia="ja-JP"/>
        </w:rPr>
        <w:instrText xml:space="preserve"> ADDIN EN.CITE &lt;EndNote&gt;&lt;Cite&gt;&lt;Author&gt;Haute Autorité de Santé (HAS)&lt;/Author&gt;&lt;Year&gt;2020&lt;/Year&gt;&lt;RecNum&gt;365&lt;/RecNum&gt;&lt;DisplayText&gt;[9]&lt;/DisplayText&gt;&lt;record&gt;&lt;rec-number&gt;365&lt;/rec-number&gt;&lt;foreign-keys&gt;&lt;key app="EN" db-id="z25xddsz659sshedpdu5pda3dswx20f99sf9" timestamp="1695607944"&gt;365&lt;/key&gt;&lt;/foreign-keys&gt;&lt;ref-type name="Government Document"&gt;46&lt;/ref-type&gt;&lt;contributors&gt;&lt;authors&gt;&lt;author&gt;Haute Autorité de Santé (HAS),&lt;/author&gt;&lt;/authors&gt;&lt;secondary-authors&gt;&lt;author&gt;Validated by the CEEPSP on 6 April 2020&lt;/author&gt;&lt;/secondary-authors&gt;&lt;/contributors&gt;&lt;titles&gt;&lt;title&gt;Methodological Guidance, Choices in methods for economic evaluation - HAS&lt;/title&gt;&lt;/titles&gt;&lt;dates&gt;&lt;year&gt;2020&lt;/year&gt;&lt;/dates&gt;&lt;urls&gt;&lt;/urls&gt;&lt;/record&gt;&lt;/Cite&gt;&lt;/EndNote&gt;</w:instrText>
      </w:r>
      <w:r w:rsidR="002D6B73" w:rsidRPr="00F46EF2">
        <w:rPr>
          <w:rFonts w:ascii="Times New Roman" w:eastAsia="ＭＳ Ｐ明朝" w:hAnsi="Times New Roman" w:cs="Times New Roman"/>
          <w:sz w:val="18"/>
          <w:szCs w:val="18"/>
        </w:rPr>
        <w:fldChar w:fldCharType="separate"/>
      </w:r>
      <w:r w:rsidR="002D6B73" w:rsidRPr="00F46EF2">
        <w:rPr>
          <w:rFonts w:ascii="Times New Roman" w:eastAsia="ＭＳ Ｐ明朝" w:hAnsi="Times New Roman" w:cs="Times New Roman"/>
          <w:noProof/>
          <w:sz w:val="18"/>
          <w:szCs w:val="18"/>
          <w:lang w:eastAsia="ja-JP"/>
        </w:rPr>
        <w:t>[9]</w:t>
      </w:r>
      <w:proofErr w:type="spellStart"/>
      <w:r w:rsidR="002D6B73"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IQWiG</w:t>
      </w:r>
      <w:proofErr w:type="spellEnd"/>
      <w:r w:rsidRPr="00F46EF2">
        <w:rPr>
          <w:rFonts w:ascii="Times New Roman" w:eastAsia="ＭＳ Ｐ明朝" w:hAnsi="Times New Roman" w:cs="Times New Roman"/>
          <w:sz w:val="18"/>
          <w:szCs w:val="18"/>
          <w:lang w:eastAsia="ja-JP"/>
        </w:rPr>
        <w:t>ガイドライン</w:t>
      </w:r>
      <w:r w:rsidR="002D6B73" w:rsidRPr="00F46EF2">
        <w:rPr>
          <w:rFonts w:ascii="Times New Roman" w:eastAsia="ＭＳ Ｐ明朝" w:hAnsi="Times New Roman" w:cs="Times New Roman"/>
          <w:sz w:val="18"/>
          <w:szCs w:val="18"/>
          <w:lang w:eastAsia="ja-JP"/>
        </w:rPr>
        <w:t xml:space="preserve">2022 </w:t>
      </w:r>
      <w:r w:rsidR="002D6B73" w:rsidRPr="00F46EF2">
        <w:rPr>
          <w:rFonts w:ascii="Times New Roman" w:eastAsia="ＭＳ Ｐ明朝" w:hAnsi="Times New Roman" w:cs="Times New Roman"/>
          <w:sz w:val="18"/>
          <w:szCs w:val="18"/>
        </w:rPr>
        <w:fldChar w:fldCharType="begin"/>
      </w:r>
      <w:r w:rsidR="002D6B73" w:rsidRPr="00F46EF2">
        <w:rPr>
          <w:rFonts w:ascii="Times New Roman" w:eastAsia="ＭＳ Ｐ明朝" w:hAnsi="Times New Roman" w:cs="Times New Roman"/>
          <w:sz w:val="18"/>
          <w:szCs w:val="18"/>
          <w:lang w:eastAsia="ja-JP"/>
        </w:rPr>
        <w:instrText xml:space="preserve"> ADDIN EN.CITE &lt;EndNote&gt;&lt;Cite&gt;&lt;Author&gt;Institute for Quality and Efficiency in Health Care (IQWiG)&lt;/Author&gt;&lt;Year&gt;2022&lt;/Year&gt;&lt;RecNum&gt;10&lt;/RecNum&gt;&lt;DisplayText&gt;[10]&lt;/DisplayText&gt;&lt;record&gt;&lt;rec-number&gt;10&lt;/rec-number&gt;&lt;foreign-keys&gt;&lt;key app="EN" db-id="z25xddsz659sshedpdu5pda3dswx20f99sf9" timestamp="1692001880"&gt;10&lt;/key&gt;&lt;/foreign-keys&gt;&lt;ref-type name="Government Document"&gt;46&lt;/ref-type&gt;&lt;contributors&gt;&lt;authors&gt;&lt;author&gt;Institute for Quality and Efficiency in Health Care (IQWiG),&lt;/author&gt;&lt;/authors&gt;&lt;/contributors&gt;&lt;titles&gt;&lt;title&gt;General Methods. Version 6.1&lt;/title&gt;&lt;/titles&gt;&lt;dates&gt;&lt;year&gt;2022&lt;/year&gt;&lt;/dates&gt;&lt;urls&gt;&lt;/urls&gt;&lt;/record&gt;&lt;/Cite&gt;&lt;/EndNote&gt;</w:instrText>
      </w:r>
      <w:r w:rsidR="002D6B73" w:rsidRPr="00F46EF2">
        <w:rPr>
          <w:rFonts w:ascii="Times New Roman" w:eastAsia="ＭＳ Ｐ明朝" w:hAnsi="Times New Roman" w:cs="Times New Roman"/>
          <w:sz w:val="18"/>
          <w:szCs w:val="18"/>
        </w:rPr>
        <w:fldChar w:fldCharType="separate"/>
      </w:r>
      <w:r w:rsidR="002D6B73" w:rsidRPr="00F46EF2">
        <w:rPr>
          <w:rFonts w:ascii="Times New Roman" w:eastAsia="ＭＳ Ｐ明朝" w:hAnsi="Times New Roman" w:cs="Times New Roman"/>
          <w:noProof/>
          <w:sz w:val="18"/>
          <w:szCs w:val="18"/>
          <w:lang w:eastAsia="ja-JP"/>
        </w:rPr>
        <w:t>[10]</w:t>
      </w:r>
      <w:proofErr w:type="spellStart"/>
      <w:r w:rsidR="002D6B73"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NoMA</w:t>
      </w:r>
      <w:proofErr w:type="spellEnd"/>
      <w:r w:rsidRPr="00F46EF2">
        <w:rPr>
          <w:rFonts w:ascii="Times New Roman" w:eastAsia="ＭＳ Ｐ明朝" w:hAnsi="Times New Roman" w:cs="Times New Roman"/>
          <w:sz w:val="18"/>
          <w:szCs w:val="18"/>
          <w:lang w:eastAsia="ja-JP"/>
        </w:rPr>
        <w:t>（医薬品）ガイドライン</w:t>
      </w:r>
      <w:r w:rsidR="002D6B73" w:rsidRPr="00F46EF2">
        <w:rPr>
          <w:rFonts w:ascii="Times New Roman" w:eastAsia="ＭＳ Ｐ明朝" w:hAnsi="Times New Roman" w:cs="Times New Roman"/>
          <w:sz w:val="18"/>
          <w:szCs w:val="18"/>
          <w:lang w:eastAsia="ja-JP"/>
        </w:rPr>
        <w:t xml:space="preserve">2018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&lt;EndNote&gt;&lt;Cite&gt;&lt;Author&gt;Norwegian Medicines Agency&lt;/Author&gt;&lt;Year&gt;2018&lt;/Year&gt;&lt;RecNum&gt;110&lt;/RecNum&gt;&lt;DisplayText&gt;[11]&lt;/DisplayText&gt;&lt;record&gt;&lt;rec-number&gt;110&lt;/rec-number&gt;&lt;foreign-keys&gt;&lt;key app="EN" db-id="z25xddsz659sshedpdu5pda3dswx20f99sf9" timestamp="1692002023"&gt;110&lt;/key&gt;&lt;/foreign-keys&gt;&lt;ref-type name="Generic"&gt;13&lt;/ref-type&gt;&lt;contributors&gt;&lt;authors&gt;&lt;author&gt;Norwegian Medicines Agency,&lt;/author&gt;&lt;/authors&gt;&lt;/contributors&gt;&lt;titles&gt;&lt;title&gt;Guidelines for the submission of documentation for single technology assessment (STA) of pharmaceuticals&lt;/title&gt;&lt;/titles&gt;&lt;dates&gt;&lt;year&gt;2018&lt;/year&gt;&lt;/dates&gt;&lt;publisher&gt;Norwegian Medicines Agency Oslo (Norway)&lt;/publisher&gt;&lt;urls&gt;&lt;/urls&gt;&lt;/record&gt;&lt;/Cite&gt;&lt;/EndNote&gt;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[11]</w:t>
      </w:r>
      <w:proofErr w:type="spellStart"/>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NoMA</w:t>
      </w:r>
      <w:proofErr w:type="spellEnd"/>
      <w:r w:rsidRPr="00F46EF2">
        <w:rPr>
          <w:rFonts w:ascii="Times New Roman" w:eastAsia="ＭＳ Ｐ明朝" w:hAnsi="Times New Roman" w:cs="Times New Roman"/>
          <w:sz w:val="18"/>
          <w:szCs w:val="18"/>
          <w:lang w:eastAsia="ja-JP"/>
        </w:rPr>
        <w:t>（医療機器・診断介入）ガイドライン</w:t>
      </w:r>
      <w:r w:rsidR="00D90968" w:rsidRPr="00F46EF2">
        <w:rPr>
          <w:rFonts w:ascii="Times New Roman" w:eastAsia="ＭＳ Ｐ明朝" w:hAnsi="Times New Roman" w:cs="Times New Roman"/>
          <w:sz w:val="18"/>
          <w:szCs w:val="18"/>
          <w:lang w:eastAsia="ja-JP"/>
        </w:rPr>
        <w:t xml:space="preserve">2021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&lt;EndNote&gt;&lt;Cite&gt;&lt;Author&gt;Norwegian Medicines Agency&lt;/Author&gt;&lt;Year&gt;2021&lt;/Year&gt;&lt;RecNum&gt;205&lt;/RecNum&gt;&lt;DisplayText&gt;[12]&lt;/DisplayText&gt;&lt;record&gt;&lt;rec-number&gt;205&lt;/rec-number&gt;&lt;foreign-keys&gt;&lt;key app="EN" db-id="z25xddsz659sshedpdu5pda3dswx20f99sf9" timestamp="1692002023"&gt;205&lt;/key&gt;&lt;/foreign-keys&gt;&lt;ref-type name="Generic"&gt;13&lt;/ref-type&gt;&lt;contributors&gt;&lt;authors&gt;&lt;author&gt;Norwegian Medicines Agency,&lt;/author&gt;&lt;/authors&gt;&lt;/contributors&gt;&lt;titles&gt;&lt;title&gt;Guidelines for the submission of documentation for single technology assessments (STAs) of medical devices and diagnostic interventions&lt;/title&gt;&lt;/titles&gt;&lt;dates&gt;&lt;year&gt;2021&lt;/year&gt;&lt;/dates&gt;&lt;urls&gt;&lt;/urls&gt;&lt;/record&gt;&lt;/Cite&gt;&lt;/EndNote&gt;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[12]</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ZIN</w:t>
      </w:r>
      <w:r w:rsidRPr="00F46EF2">
        <w:rPr>
          <w:rFonts w:ascii="Times New Roman" w:eastAsia="ＭＳ Ｐ明朝" w:hAnsi="Times New Roman" w:cs="Times New Roman"/>
          <w:sz w:val="18"/>
          <w:szCs w:val="18"/>
          <w:lang w:eastAsia="ja-JP"/>
        </w:rPr>
        <w:t>ガイドライン</w:t>
      </w:r>
      <w:r w:rsidR="00D90968" w:rsidRPr="00F46EF2">
        <w:rPr>
          <w:rFonts w:ascii="Times New Roman" w:eastAsia="ＭＳ Ｐ明朝" w:hAnsi="Times New Roman" w:cs="Times New Roman"/>
          <w:sz w:val="18"/>
          <w:szCs w:val="18"/>
          <w:lang w:eastAsia="ja-JP"/>
        </w:rPr>
        <w:t xml:space="preserve">2016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&lt;EndNote&gt;&lt;Cite&gt;&lt;Author&gt;National Health Care Institute (Zorginstitut Nederland) (ZIN) the Netherlands&lt;/Author&gt;&lt;Year&gt;2016&lt;/Year&gt;&lt;RecNum&gt;196&lt;/RecNum&gt;&lt;DisplayText&gt;[13]&lt;/DisplayText&gt;&lt;record&gt;&lt;rec-number&gt;196&lt;/rec-number&gt;&lt;foreign-keys&gt;&lt;key app="EN" db-id="z25xddsz659sshedpdu5pda3dswx20f99sf9" timestamp="1692002023"&gt;196&lt;/key&gt;&lt;/foreign-keys&gt;&lt;ref-type name="Government Document"&gt;46&lt;/ref-type&gt;&lt;contributors&gt;&lt;authors&gt;&lt;author&gt;National Health Care Institute (Zorginstitut Nederland) (ZIN) the Netherlands,&lt;/author&gt;&lt;/authors&gt;&lt;secondary-authors&gt;&lt;author&gt;Zorginstitut Nederland (ZIN),&lt;/author&gt;&lt;/secondary-authors&gt;&lt;/contributors&gt;&lt;titles&gt;&lt;title&gt;Guideline for economic evaluations in healthcare&lt;/title&gt;&lt;/titles&gt;&lt;dates&gt;&lt;year&gt;2016&lt;/year&gt;&lt;/dates&gt;&lt;urls&gt;&lt;/urls&gt;&lt;/record&gt;&lt;/Cite&gt;&lt;/EndNote&gt;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[13]</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KCE</w:t>
      </w:r>
      <w:r w:rsidRPr="00F46EF2">
        <w:rPr>
          <w:rFonts w:ascii="Times New Roman" w:eastAsia="ＭＳ Ｐ明朝" w:hAnsi="Times New Roman" w:cs="Times New Roman"/>
          <w:sz w:val="18"/>
          <w:szCs w:val="18"/>
          <w:lang w:eastAsia="ja-JP"/>
        </w:rPr>
        <w:t>ガイドライン</w:t>
      </w:r>
      <w:r w:rsidR="00D90968" w:rsidRPr="00F46EF2">
        <w:rPr>
          <w:rFonts w:ascii="Times New Roman" w:eastAsia="ＭＳ Ｐ明朝" w:hAnsi="Times New Roman" w:cs="Times New Roman"/>
          <w:sz w:val="18"/>
          <w:szCs w:val="18"/>
          <w:lang w:eastAsia="ja-JP"/>
        </w:rPr>
        <w:t xml:space="preserve">2012 </w:t>
      </w:r>
      <w:r w:rsidR="00D90968" w:rsidRPr="00F46EF2">
        <w:rPr>
          <w:rFonts w:ascii="Times New Roman" w:eastAsia="ＭＳ Ｐ明朝" w:hAnsi="Times New Roman" w:cs="Times New Roman"/>
          <w:sz w:val="18"/>
          <w:szCs w:val="18"/>
        </w:rPr>
        <w:fldChar w:fldCharType="begin"/>
      </w:r>
      <w:r w:rsidR="00F04192" w:rsidRPr="00F46EF2">
        <w:rPr>
          <w:rFonts w:ascii="Times New Roman" w:eastAsia="ＭＳ Ｐ明朝" w:hAnsi="Times New Roman" w:cs="Times New Roman"/>
          <w:sz w:val="18"/>
          <w:szCs w:val="18"/>
          <w:lang w:eastAsia="ja-JP"/>
        </w:rPr>
        <w:instrText xml:space="preserve"> ADDIN EN.CITE &lt;EndNote&gt;&lt;Cite&gt;&lt;Author&gt;Belgian Health Care Knowledge Centre (KCE)&lt;/Author&gt;&lt;Year&gt;2012&lt;/Year&gt;&lt;RecNum&gt;355&lt;/RecNum&gt;&lt;DisplayText&gt;[14]&lt;/DisplayText&gt;&lt;record&gt;&lt;rec-number&gt;355&lt;/rec-number&gt;&lt;foreign-keys&gt;&lt;key app="EN" db-id="z25xddsz659sshedpdu5pda3dswx20f99sf9" timestamp="1695290775"&gt;355&lt;/key&gt;&lt;/foreign-keys&gt;&lt;ref-type name="Government Document"&gt;46&lt;/ref-type&gt;&lt;contributors&gt;&lt;authors&gt;&lt;author&gt;Belgian Health Care Knowledge Centre (KCE),&lt;/author&gt;&lt;/authors&gt;&lt;/contributors&gt;&lt;titles&gt;&lt;title&gt;Belgian guidelines for economic evaluations and budget impact analyses: second edition, KCE REPORT 183C&lt;/title&gt;&lt;/titles&gt;&lt;dates&gt;&lt;year&gt;2012&lt;/year&gt;&lt;/dates&gt;&lt;pub-location&gt;Belgium&lt;/pub-location&gt;&lt;urls&gt;&lt;/urls&gt;&lt;/record&gt;&lt;/Cite&gt;&lt;/EndNote&gt;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[14]</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C2H</w:t>
      </w:r>
      <w:r w:rsidRPr="00F46EF2">
        <w:rPr>
          <w:rFonts w:ascii="Times New Roman" w:eastAsia="ＭＳ Ｐ明朝" w:hAnsi="Times New Roman" w:cs="Times New Roman"/>
          <w:sz w:val="18"/>
          <w:szCs w:val="18"/>
          <w:lang w:eastAsia="ja-JP"/>
        </w:rPr>
        <w:t>ガイドライン</w:t>
      </w:r>
      <w:r w:rsidR="00D90968" w:rsidRPr="00F46EF2">
        <w:rPr>
          <w:rFonts w:ascii="Times New Roman" w:eastAsia="ＭＳ Ｐ明朝" w:hAnsi="Times New Roman" w:cs="Times New Roman"/>
          <w:sz w:val="18"/>
          <w:szCs w:val="18"/>
          <w:lang w:eastAsia="ja-JP"/>
        </w:rPr>
        <w:t xml:space="preserve">2022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&lt;EndNote&gt;&lt;Cite&gt;&lt;Author&gt;Center for Outcomes Research and Economic Evaluation for Health&lt;/Author&gt;&lt;Year&gt;2022&lt;/Year&gt;&lt;RecNum&gt;144&lt;/RecNum&gt;&lt;DisplayText&gt;[15]&lt;/DisplayText&gt;&lt;record&gt;&lt;rec-number&gt;144&lt;/rec-number&gt;&lt;foreign-keys&gt;&lt;key app="EN" db-id="z25xddsz659sshedpdu5pda3dswx20f99sf9" timestamp="1692002023"&gt;144&lt;/key&gt;&lt;/foreign-keys&gt;&lt;ref-type name="Generic"&gt;13&lt;/ref-type&gt;&lt;contributors&gt;&lt;authors&gt;&lt;author&gt;Center for Outcomes Research and Economic Evaluation for Health, National Institute of Public Health (C2H),&lt;/author&gt;&lt;/authors&gt;&lt;/contributors&gt;&lt;titles&gt;&lt;title&gt;Guideline for Preparing Cost-Effectiveness Evaluation to the Central Social Insurance Medical Council version 3.0&lt;/title&gt;&lt;/titles&gt;&lt;dates&gt;&lt;year&gt;2022&lt;/year&gt;&lt;/dates&gt;&lt;urls&gt;&lt;/urls&gt;&lt;/record&gt;&lt;/Cite&gt;&lt;/EndNote&gt;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[15]</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HIRA</w:t>
      </w:r>
      <w:r w:rsidRPr="00F46EF2">
        <w:rPr>
          <w:rFonts w:ascii="Times New Roman" w:eastAsia="ＭＳ Ｐ明朝" w:hAnsi="Times New Roman" w:cs="Times New Roman"/>
          <w:sz w:val="18"/>
          <w:szCs w:val="18"/>
          <w:lang w:eastAsia="ja-JP"/>
        </w:rPr>
        <w:t>ガイドライン（</w:t>
      </w:r>
      <w:r w:rsidRPr="00F46EF2">
        <w:rPr>
          <w:rFonts w:ascii="Times New Roman" w:eastAsia="ＭＳ Ｐ明朝" w:hAnsi="Times New Roman" w:cs="Times New Roman"/>
          <w:sz w:val="18"/>
          <w:szCs w:val="18"/>
          <w:lang w:eastAsia="ja-JP"/>
        </w:rPr>
        <w:t>Bae et al.</w:t>
      </w:r>
      <w:r w:rsidRPr="00F46EF2">
        <w:rPr>
          <w:rFonts w:ascii="Times New Roman" w:eastAsia="ＭＳ Ｐ明朝" w:hAnsi="Times New Roman" w:cs="Times New Roman"/>
          <w:sz w:val="18"/>
          <w:szCs w:val="18"/>
          <w:lang w:eastAsia="ja-JP"/>
        </w:rPr>
        <w:t>）</w:t>
      </w:r>
      <w:r w:rsidRPr="00F46EF2">
        <w:rPr>
          <w:rFonts w:ascii="Times New Roman" w:eastAsia="ＭＳ Ｐ明朝" w:hAnsi="Times New Roman" w:cs="Times New Roman"/>
          <w:sz w:val="18"/>
          <w:szCs w:val="18"/>
          <w:lang w:eastAsia="ja-JP"/>
        </w:rPr>
        <w:t xml:space="preserve">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&lt;EndNote&gt;&lt;Cite&gt;&lt;Author&gt;Bae&lt;/Author&gt;&lt;Year&gt;2022&lt;/Year&gt;&lt;RecNum&gt;117&lt;/RecNum&gt;&lt;DisplayText&gt;[16]&lt;/DisplayText&gt;&lt;record&gt;&lt;rec-number&gt;117&lt;/rec-number&gt;&lt;foreign-keys&gt;&lt;key app="EN" db-id="z25xddsz659sshedpdu5pda3dswx20f99sf9" timestamp="1692002023"&gt;117&lt;/key&gt;&lt;/foreign-keys&gt;&lt;ref-type name="Journal Article"&gt;17&lt;/ref-type&gt;&lt;contributors&gt;&lt;authors&gt;&lt;author&gt;Bae, Eun-Young&lt;/author&gt;&lt;author&gt;Hong, Jihyung&lt;/author&gt;&lt;author&gt;Bae, SeungJin&lt;/author&gt;&lt;author&gt;Hahn, Seokyung&lt;/author&gt;&lt;author&gt;An, Hyonggin&lt;/author&gt;&lt;author&gt;Hwang, Eun-joo&lt;/author&gt;&lt;author&gt;Lee, Seung-min&lt;/author&gt;&lt;author&gt;Lee, Tae-jin&lt;/author&gt;&lt;/authors&gt;&lt;/contributors&gt;&lt;titles&gt;&lt;title&gt;Korean guidelines for pharmacoeconomic evaluations: updates in the third version&lt;/title&gt;&lt;secondary-title&gt;Applied Health Economics and Health Policy&lt;/secondary-title&gt;&lt;/titles&gt;&lt;periodical&gt;&lt;full-title&gt;Applied Health Economics and Health Policy&lt;/full-title&gt;&lt;/periodical&gt;&lt;pages&gt;467-477&lt;/pages&gt;&lt;volume&gt;20&lt;/volume&gt;&lt;number&gt;4&lt;/number&gt;&lt;dates&gt;&lt;year&gt;2022&lt;/year&gt;&lt;/dates&gt;&lt;isbn&gt;1175-5652&lt;/isbn&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[16]</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ACE</w:t>
      </w:r>
      <w:r w:rsidRPr="00F46EF2">
        <w:rPr>
          <w:rFonts w:ascii="Times New Roman" w:eastAsia="ＭＳ Ｐ明朝" w:hAnsi="Times New Roman" w:cs="Times New Roman"/>
          <w:sz w:val="18"/>
          <w:szCs w:val="18"/>
          <w:lang w:eastAsia="ja-JP"/>
        </w:rPr>
        <w:t>（医療技術）ガイドライン</w:t>
      </w:r>
      <w:r w:rsidRPr="00F46EF2">
        <w:rPr>
          <w:rFonts w:ascii="Times New Roman" w:eastAsia="ＭＳ Ｐ明朝" w:hAnsi="Times New Roman" w:cs="Times New Roman"/>
          <w:sz w:val="18"/>
          <w:szCs w:val="18"/>
          <w:lang w:eastAsia="ja-JP"/>
        </w:rPr>
        <w:t xml:space="preserve"> </w:t>
      </w:r>
      <w:r w:rsidR="00D90968" w:rsidRPr="00F46EF2">
        <w:rPr>
          <w:rFonts w:ascii="Times New Roman" w:eastAsia="ＭＳ Ｐ明朝" w:hAnsi="Times New Roman" w:cs="Times New Roman"/>
          <w:sz w:val="18"/>
          <w:szCs w:val="18"/>
          <w:lang w:eastAsia="ja-JP"/>
        </w:rPr>
        <w:t>2022</w:t>
      </w:r>
      <w:r w:rsidR="00D90968" w:rsidRPr="00F46EF2">
        <w:rPr>
          <w:rFonts w:ascii="Times New Roman" w:eastAsia="ＭＳ Ｐ明朝" w:hAnsi="Times New Roman" w:cs="Times New Roman"/>
          <w:sz w:val="18"/>
          <w:szCs w:val="18"/>
          <w:lang w:eastAsia="ja-JP"/>
        </w:rPr>
        <w:t>年</w:t>
      </w:r>
      <w:r w:rsidR="00D90968" w:rsidRPr="00F46EF2">
        <w:rPr>
          <w:rFonts w:ascii="Times New Roman" w:eastAsia="ＭＳ Ｐ明朝" w:hAnsi="Times New Roman" w:cs="Times New Roman"/>
          <w:sz w:val="18"/>
          <w:szCs w:val="18"/>
          <w:lang w:eastAsia="ja-JP"/>
        </w:rPr>
        <w:t xml:space="preserve">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&lt;EndNote&gt;&lt;Cite&gt;&lt;Author&gt;Agency for Care Effectiveness (Singapore)&lt;/Author&gt;&lt;Year&gt;Mar 2022&lt;/Year&gt;&lt;RecNum&gt;108&lt;/RecNum&gt;&lt;DisplayText&gt;[17]&lt;/DisplayText&gt;&lt;record&gt;&lt;rec-number&gt;108&lt;/rec-number&gt;&lt;foreign-keys&gt;&lt;key app="EN" db-id="z25xddsz659sshedpdu5pda3dswx20f99sf9" timestamp="1692002023"&gt;108&lt;/key&gt;&lt;/foreign-keys&gt;&lt;ref-type name="Government Document"&gt;46&lt;/ref-type&gt;&lt;contributors&gt;&lt;authors&gt;&lt;author&gt;Agency for Care Effectiveness (Singapore), &lt;/author&gt;&lt;/authors&gt;&lt;/contributors&gt;&lt;titles&gt;&lt;title&gt;Medical Technologies Evaluation Methods and Process Guide Version 2.0 &lt;/title&gt;&lt;/titles&gt;&lt;dates&gt;&lt;year&gt;Mar 2022&lt;/year&gt;&lt;/dates&gt;&lt;urls&gt;&lt;/urls&gt;&lt;/record&gt;&lt;/Cite&gt;&lt;/EndNote&gt;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[17]</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ACE</w:t>
      </w:r>
      <w:r w:rsidRPr="00F46EF2">
        <w:rPr>
          <w:rFonts w:ascii="Times New Roman" w:eastAsia="ＭＳ Ｐ明朝" w:hAnsi="Times New Roman" w:cs="Times New Roman"/>
          <w:sz w:val="18"/>
          <w:szCs w:val="18"/>
          <w:lang w:eastAsia="ja-JP"/>
        </w:rPr>
        <w:t>（医薬品・ワクチン）ガイドライン</w:t>
      </w:r>
      <w:r w:rsidRPr="00F46EF2">
        <w:rPr>
          <w:rFonts w:ascii="Times New Roman" w:eastAsia="ＭＳ Ｐ明朝" w:hAnsi="Times New Roman" w:cs="Times New Roman"/>
          <w:sz w:val="18"/>
          <w:szCs w:val="18"/>
          <w:lang w:eastAsia="ja-JP"/>
        </w:rPr>
        <w:t xml:space="preserve"> </w:t>
      </w:r>
      <w:r w:rsidR="00D90968" w:rsidRPr="00F46EF2">
        <w:rPr>
          <w:rFonts w:ascii="Times New Roman" w:eastAsia="ＭＳ Ｐ明朝" w:hAnsi="Times New Roman" w:cs="Times New Roman"/>
          <w:sz w:val="18"/>
          <w:szCs w:val="18"/>
          <w:lang w:eastAsia="ja-JP"/>
        </w:rPr>
        <w:t>2021</w:t>
      </w:r>
      <w:r w:rsidR="00D90968" w:rsidRPr="00F46EF2">
        <w:rPr>
          <w:rFonts w:ascii="Times New Roman" w:eastAsia="ＭＳ Ｐ明朝" w:hAnsi="Times New Roman" w:cs="Times New Roman"/>
          <w:sz w:val="18"/>
          <w:szCs w:val="18"/>
          <w:lang w:eastAsia="ja-JP"/>
        </w:rPr>
        <w:t>年</w:t>
      </w:r>
      <w:r w:rsidR="00D90968" w:rsidRPr="00F46EF2">
        <w:rPr>
          <w:rFonts w:ascii="Times New Roman" w:eastAsia="ＭＳ Ｐ明朝" w:hAnsi="Times New Roman" w:cs="Times New Roman"/>
          <w:sz w:val="18"/>
          <w:szCs w:val="18"/>
          <w:lang w:eastAsia="ja-JP"/>
        </w:rPr>
        <w:t xml:space="preserve"> </w:t>
      </w:r>
      <w:r w:rsidR="00D90968" w:rsidRPr="00F46EF2">
        <w:rPr>
          <w:rFonts w:ascii="Times New Roman" w:eastAsia="ＭＳ Ｐ明朝" w:hAnsi="Times New Roman" w:cs="Times New Roman"/>
          <w:sz w:val="18"/>
          <w:szCs w:val="18"/>
        </w:rPr>
        <w:fldChar w:fldCharType="begin"/>
      </w:r>
      <w:r w:rsidR="00D90968" w:rsidRPr="00F46EF2">
        <w:rPr>
          <w:rFonts w:ascii="Times New Roman" w:eastAsia="ＭＳ Ｐ明朝" w:hAnsi="Times New Roman" w:cs="Times New Roman"/>
          <w:sz w:val="18"/>
          <w:szCs w:val="18"/>
          <w:lang w:eastAsia="ja-JP"/>
        </w:rPr>
        <w:instrText xml:space="preserve"> ADDIN EN.CITE &lt;EndNote&gt;&lt;Cite&gt;&lt;Author&gt;Agency for Care Effectiveness (Singapore)&lt;/Author&gt;&lt;Year&gt;June 2021&lt;/Year&gt;&lt;RecNum&gt;107&lt;/RecNum&gt;&lt;DisplayText&gt;[18]&lt;/DisplayText&gt;&lt;record&gt;&lt;rec-number&gt;107&lt;/rec-number&gt;&lt;foreign-keys&gt;&lt;key app="EN" db-id="z25xddsz659sshedpdu5pda3dswx20f99sf9" timestamp="1692002023"&gt;107&lt;/key&gt;&lt;/foreign-keys&gt;&lt;ref-type name="Government Document"&gt;46&lt;/ref-type&gt;&lt;contributors&gt;&lt;authors&gt;&lt;author&gt;Agency for Care Effectiveness (Singapore), &lt;/author&gt;&lt;/authors&gt;&lt;/contributors&gt;&lt;titles&gt;&lt;title&gt;Drugs and Vaccine Evaluation Methods and Process Guide Version 3.0&lt;/title&gt;&lt;/titles&gt;&lt;dates&gt;&lt;year&gt;June 2021&lt;/year&gt;&lt;/dates&gt;&lt;urls&gt;&lt;/urls&gt;&lt;/record&gt;&lt;/Cite&gt;&lt;/EndNote&gt;</w:instrText>
      </w:r>
      <w:r w:rsidR="00D90968" w:rsidRPr="00F46EF2">
        <w:rPr>
          <w:rFonts w:ascii="Times New Roman" w:eastAsia="ＭＳ Ｐ明朝" w:hAnsi="Times New Roman" w:cs="Times New Roman"/>
          <w:sz w:val="18"/>
          <w:szCs w:val="18"/>
        </w:rPr>
        <w:fldChar w:fldCharType="separate"/>
      </w:r>
      <w:r w:rsidR="00D90968" w:rsidRPr="00F46EF2">
        <w:rPr>
          <w:rFonts w:ascii="Times New Roman" w:eastAsia="ＭＳ Ｐ明朝" w:hAnsi="Times New Roman" w:cs="Times New Roman"/>
          <w:noProof/>
          <w:sz w:val="18"/>
          <w:szCs w:val="18"/>
          <w:lang w:eastAsia="ja-JP"/>
        </w:rPr>
        <w:t>[18]</w:t>
      </w:r>
      <w:r w:rsidR="00D90968"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CDE</w:t>
      </w:r>
      <w:r w:rsidRPr="00F46EF2">
        <w:rPr>
          <w:rFonts w:ascii="Times New Roman" w:eastAsia="ＭＳ Ｐ明朝" w:hAnsi="Times New Roman" w:cs="Times New Roman"/>
          <w:sz w:val="18"/>
          <w:szCs w:val="18"/>
          <w:lang w:eastAsia="ja-JP"/>
        </w:rPr>
        <w:t>（</w:t>
      </w:r>
      <w:proofErr w:type="spellStart"/>
      <w:r w:rsidRPr="00F46EF2">
        <w:rPr>
          <w:rFonts w:ascii="Times New Roman" w:eastAsia="ＭＳ Ｐ明朝" w:hAnsi="Times New Roman" w:cs="Times New Roman"/>
          <w:sz w:val="18"/>
          <w:szCs w:val="18"/>
          <w:lang w:eastAsia="ja-JP"/>
        </w:rPr>
        <w:t>TasPOR</w:t>
      </w:r>
      <w:proofErr w:type="spellEnd"/>
      <w:r w:rsidRPr="00F46EF2">
        <w:rPr>
          <w:rFonts w:ascii="Times New Roman" w:eastAsia="ＭＳ Ｐ明朝" w:hAnsi="Times New Roman" w:cs="Times New Roman"/>
          <w:sz w:val="18"/>
          <w:szCs w:val="18"/>
          <w:lang w:eastAsia="ja-JP"/>
        </w:rPr>
        <w:t>）ガイドライン</w:t>
      </w:r>
      <w:r w:rsidR="004A7641" w:rsidRPr="00F46EF2">
        <w:rPr>
          <w:rFonts w:ascii="Times New Roman" w:eastAsia="ＭＳ Ｐ明朝" w:hAnsi="Times New Roman" w:cs="Times New Roman"/>
          <w:sz w:val="18"/>
          <w:szCs w:val="18"/>
          <w:lang w:eastAsia="ja-JP"/>
        </w:rPr>
        <w:t xml:space="preserve">2006 </w:t>
      </w:r>
      <w:r w:rsidR="004A7641" w:rsidRPr="00F46EF2">
        <w:rPr>
          <w:rFonts w:ascii="Times New Roman" w:eastAsia="ＭＳ Ｐ明朝" w:hAnsi="Times New Roman" w:cs="Times New Roman"/>
          <w:sz w:val="18"/>
          <w:szCs w:val="18"/>
        </w:rPr>
        <w:fldChar w:fldCharType="begin"/>
      </w:r>
      <w:r w:rsidR="004A7641" w:rsidRPr="00F46EF2">
        <w:rPr>
          <w:rFonts w:ascii="Times New Roman" w:eastAsia="ＭＳ Ｐ明朝" w:hAnsi="Times New Roman" w:cs="Times New Roman"/>
          <w:sz w:val="18"/>
          <w:szCs w:val="18"/>
          <w:lang w:eastAsia="ja-JP"/>
        </w:rPr>
        <w:instrText xml:space="preserve"> ADDIN EN.CITE &lt;EndNote&gt;&lt;Cite&gt;&lt;Author&gt;Taiwan Chapter of International Society for Pharmacoeconomics and Outcomes Research (TaSPOR)&lt;/Author&gt;&lt;Year&gt;2006&lt;/Year&gt;&lt;RecNum&gt;233&lt;/RecNum&gt;&lt;DisplayText&gt;[19]&lt;/DisplayText&gt;&lt;record&gt;&lt;rec-number&gt;233&lt;/rec-number&gt;&lt;foreign-keys&gt;&lt;key app="EN" db-id="z25xddsz659sshedpdu5pda3dswx20f99sf9" timestamp="1692002023"&gt;233&lt;/key&gt;&lt;/foreign-keys&gt;&lt;ref-type name="Generic"&gt;13&lt;/ref-type&gt;&lt;contributors&gt;&lt;authors&gt;&lt;author&gt;Taiwan Chapter of International Society for Pharmacoeconomics and Outcomes Research (TaSPOR), &lt;/author&gt;&lt;/authors&gt;&lt;/contributors&gt;&lt;titles&gt;&lt;title&gt;Guidelines of Methodological Standards for Pharmacoeconomic Evaluations in Taiwan (Version 1.0)&lt;/title&gt;&lt;/titles&gt;&lt;dates&gt;&lt;year&gt;2006&lt;/year&gt;&lt;/dates&gt;&lt;urls&gt;&lt;/urls&gt;&lt;/record&gt;&lt;/Cite&gt;&lt;/EndNote&gt;</w:instrText>
      </w:r>
      <w:r w:rsidR="004A7641" w:rsidRPr="00F46EF2">
        <w:rPr>
          <w:rFonts w:ascii="Times New Roman" w:eastAsia="ＭＳ Ｐ明朝" w:hAnsi="Times New Roman" w:cs="Times New Roman"/>
          <w:sz w:val="18"/>
          <w:szCs w:val="18"/>
        </w:rPr>
        <w:fldChar w:fldCharType="separate"/>
      </w:r>
      <w:r w:rsidR="004A7641" w:rsidRPr="00F46EF2">
        <w:rPr>
          <w:rFonts w:ascii="Times New Roman" w:eastAsia="ＭＳ Ｐ明朝" w:hAnsi="Times New Roman" w:cs="Times New Roman"/>
          <w:noProof/>
          <w:sz w:val="18"/>
          <w:szCs w:val="18"/>
          <w:lang w:eastAsia="ja-JP"/>
        </w:rPr>
        <w:t>[19]</w:t>
      </w:r>
      <w:r w:rsidR="004A7641" w:rsidRPr="00F46EF2">
        <w:rPr>
          <w:rFonts w:ascii="Times New Roman" w:eastAsia="ＭＳ Ｐ明朝" w:hAnsi="Times New Roman" w:cs="Times New Roman"/>
          <w:sz w:val="18"/>
          <w:szCs w:val="18"/>
        </w:rPr>
        <w:fldChar w:fldCharType="end"/>
      </w:r>
      <w:r w:rsidRPr="00F46EF2">
        <w:rPr>
          <w:rFonts w:ascii="Times New Roman" w:eastAsia="ＭＳ Ｐ明朝" w:hAnsi="Times New Roman" w:cs="Times New Roman"/>
          <w:sz w:val="18"/>
          <w:szCs w:val="18"/>
          <w:lang w:eastAsia="ja-JP"/>
        </w:rPr>
        <w:t>.</w:t>
      </w:r>
    </w:p>
    <w:p w14:paraId="438F0366" w14:textId="77777777" w:rsidR="00F46EF2" w:rsidRPr="00F46EF2" w:rsidRDefault="00F46EF2">
      <w:pPr>
        <w:pStyle w:val="afc"/>
        <w:rPr>
          <w:rFonts w:ascii="Times New Roman" w:eastAsia="ＭＳ Ｐ明朝" w:hAnsi="Times New Roman" w:cs="Times New Roman"/>
          <w:sz w:val="12"/>
          <w:szCs w:val="16"/>
          <w:lang w:eastAsia="ja-JP"/>
        </w:rPr>
      </w:pPr>
    </w:p>
    <w:p w14:paraId="5C4BE528"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lastRenderedPageBreak/>
        <w:t>イングランドとウェールズ、ノルウェー、オランダは、医療資源配分の意思決定において、費用対効果の閾値を明示している。オーストラリアには費用対効果を検討するためのガイドラインがあるが、</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や</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が新しい介入を推奨するために満たさなければならない明確な閾値はない。</w:t>
      </w:r>
      <w:r w:rsidRPr="00F46EF2">
        <w:rPr>
          <w:rFonts w:ascii="Times New Roman" w:eastAsia="ＭＳ Ｐ明朝" w:hAnsi="Times New Roman"/>
          <w:sz w:val="20"/>
          <w:szCs w:val="21"/>
          <w:lang w:eastAsia="ja-JP"/>
        </w:rPr>
        <w:t xml:space="preserve"> </w:t>
      </w:r>
    </w:p>
    <w:p w14:paraId="3EB9A56A" w14:textId="77777777" w:rsidR="00156C9E" w:rsidRPr="00F46EF2" w:rsidRDefault="00156C9E">
      <w:pPr>
        <w:pStyle w:val="a3"/>
        <w:rPr>
          <w:rFonts w:ascii="Times New Roman" w:eastAsia="ＭＳ Ｐ明朝" w:hAnsi="Times New Roman"/>
          <w:sz w:val="20"/>
          <w:szCs w:val="21"/>
          <w:lang w:eastAsia="ja-JP"/>
        </w:rPr>
      </w:pPr>
    </w:p>
    <w:p w14:paraId="66A30FF6" w14:textId="77777777" w:rsidR="00FF745D" w:rsidRPr="00F46EF2" w:rsidRDefault="00000000">
      <w:pPr>
        <w:pStyle w:val="NbrHeading4"/>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違いは</w:t>
      </w:r>
      <w:r w:rsidR="00574797" w:rsidRPr="00F46EF2">
        <w:rPr>
          <w:rFonts w:ascii="Times New Roman" w:eastAsia="ＭＳ Ｐ明朝" w:hAnsi="Times New Roman"/>
          <w:sz w:val="20"/>
          <w:szCs w:val="21"/>
          <w:lang w:eastAsia="ja-JP"/>
        </w:rPr>
        <w:t>ないという</w:t>
      </w:r>
      <w:r w:rsidRPr="00F46EF2">
        <w:rPr>
          <w:rFonts w:ascii="Times New Roman" w:eastAsia="ＭＳ Ｐ明朝" w:hAnsi="Times New Roman"/>
          <w:sz w:val="20"/>
          <w:szCs w:val="21"/>
          <w:lang w:eastAsia="ja-JP"/>
        </w:rPr>
        <w:t>医療技術の主張</w:t>
      </w:r>
    </w:p>
    <w:p w14:paraId="18A847CE"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のためのいくつかのガイドラインでは、代替品と比較して有効性の実質的な改善や毒性の低減</w:t>
      </w:r>
      <w:proofErr w:type="spellEnd"/>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が認められない場合（ここでは「非劣性」と呼ぶ）に、コスト最小化分析（</w:t>
      </w:r>
      <w:r w:rsidRPr="00F46EF2">
        <w:rPr>
          <w:rFonts w:ascii="Times New Roman" w:eastAsia="ＭＳ Ｐ明朝" w:hAnsi="Times New Roman"/>
          <w:sz w:val="20"/>
          <w:szCs w:val="21"/>
          <w:lang w:eastAsia="ja-JP"/>
        </w:rPr>
        <w:t>CMA</w:t>
      </w:r>
      <w:r w:rsidRPr="00F46EF2">
        <w:rPr>
          <w:rFonts w:ascii="Times New Roman" w:eastAsia="ＭＳ Ｐ明朝" w:hAnsi="Times New Roman"/>
          <w:sz w:val="20"/>
          <w:szCs w:val="21"/>
          <w:lang w:eastAsia="ja-JP"/>
        </w:rPr>
        <w:t>）を主な手法として推奨している：オーストラリア：</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、英国：</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、ニュージーランド：</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NoMA</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NIPH</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、フランス：</w:t>
      </w:r>
      <w:r w:rsidRPr="00F46EF2">
        <w:rPr>
          <w:rFonts w:ascii="Times New Roman" w:eastAsia="ＭＳ Ｐ明朝" w:hAnsi="Times New Roman"/>
          <w:sz w:val="20"/>
          <w:szCs w:val="21"/>
          <w:lang w:eastAsia="ja-JP"/>
        </w:rPr>
        <w:t>HAS</w:t>
      </w:r>
      <w:r w:rsidRPr="00F46EF2">
        <w:rPr>
          <w:rFonts w:ascii="Times New Roman" w:eastAsia="ＭＳ Ｐ明朝" w:hAnsi="Times New Roman"/>
          <w:sz w:val="20"/>
          <w:szCs w:val="21"/>
          <w:lang w:eastAsia="ja-JP"/>
        </w:rPr>
        <w:t>、台湾、シンガポール：</w:t>
      </w:r>
      <w:r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、日本：</w:t>
      </w:r>
      <w:r w:rsidRPr="00F46EF2">
        <w:rPr>
          <w:rFonts w:ascii="Times New Roman" w:eastAsia="ＭＳ Ｐ明朝" w:hAnsi="Times New Roman"/>
          <w:sz w:val="20"/>
          <w:szCs w:val="21"/>
          <w:lang w:eastAsia="ja-JP"/>
        </w:rPr>
        <w:t>C2H</w:t>
      </w:r>
      <w:r w:rsidRPr="00F46EF2">
        <w:rPr>
          <w:rFonts w:ascii="Times New Roman" w:eastAsia="ＭＳ Ｐ明朝" w:hAnsi="Times New Roman"/>
          <w:sz w:val="20"/>
          <w:szCs w:val="21"/>
          <w:lang w:eastAsia="ja-JP"/>
        </w:rPr>
        <w:t>、韓国：</w:t>
      </w:r>
      <w:r w:rsidRPr="00F46EF2">
        <w:rPr>
          <w:rFonts w:ascii="Times New Roman" w:eastAsia="ＭＳ Ｐ明朝" w:hAnsi="Times New Roman"/>
          <w:sz w:val="20"/>
          <w:szCs w:val="21"/>
          <w:lang w:eastAsia="ja-JP"/>
        </w:rPr>
        <w:t>HIRA</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p>
    <w:p w14:paraId="0AD771D8"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非劣性を主張する医療技術の価格設定について、オーストラリアで現在用いられているアプローチは、費用最小化よりも費用同等性に一致している。費用同等性とは、正味費用が維持されること（すなわち、同レベルであること）を指し、費用最小化とは、正味費用が比較対照薬に関連するものよりも低いことを指す。</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のガイドライン（</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ガイドライン</w:t>
      </w:r>
      <w:r w:rsidRPr="00F46EF2">
        <w:rPr>
          <w:rFonts w:ascii="Times New Roman" w:eastAsia="ＭＳ Ｐ明朝" w:hAnsi="Times New Roman"/>
          <w:sz w:val="20"/>
          <w:szCs w:val="21"/>
          <w:lang w:eastAsia="ja-JP"/>
        </w:rPr>
        <w:t>2016</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v5.0 p100</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ガイドライン</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v1.0 p205</w:t>
      </w:r>
      <w:r w:rsidRPr="00F46EF2">
        <w:rPr>
          <w:rFonts w:ascii="Times New Roman" w:eastAsia="ＭＳ Ｐ明朝" w:hAnsi="Times New Roman"/>
          <w:sz w:val="20"/>
          <w:szCs w:val="21"/>
          <w:lang w:eastAsia="ja-JP"/>
        </w:rPr>
        <w:t>）では、要求された価格において、提案された医薬品の治療費全体が、主な比較対照薬の治療費全体と同じか、それ以下であるべきであるとしている。ニュージーランドの</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プロセスにおいてコスト最小化を実践している機関の一つである。</w:t>
      </w:r>
      <w:r w:rsidRPr="00F46EF2">
        <w:rPr>
          <w:rFonts w:ascii="Times New Roman" w:eastAsia="ＭＳ Ｐ明朝" w:hAnsi="Times New Roman"/>
          <w:sz w:val="20"/>
          <w:szCs w:val="21"/>
        </w:rPr>
        <w:t>PHARMAC</w:t>
      </w:r>
      <w:r w:rsidRPr="00F46EF2">
        <w:rPr>
          <w:rFonts w:ascii="Times New Roman" w:eastAsia="ＭＳ Ｐ明朝" w:hAnsi="Times New Roman"/>
          <w:sz w:val="20"/>
          <w:szCs w:val="21"/>
        </w:rPr>
        <w:t>のガイドラインによると（</w:t>
      </w:r>
      <w:r w:rsidRPr="00F46EF2">
        <w:rPr>
          <w:rFonts w:ascii="Times New Roman" w:eastAsia="ＭＳ Ｐ明朝" w:hAnsi="Times New Roman"/>
          <w:sz w:val="20"/>
          <w:szCs w:val="21"/>
        </w:rPr>
        <w:t>PHARMAC Prescription for Pharmacoeconomic Analysis, 2015 p8</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CMA</w:t>
      </w:r>
      <w:r w:rsidRPr="00F46EF2">
        <w:rPr>
          <w:rFonts w:ascii="Times New Roman" w:eastAsia="ＭＳ Ｐ明朝" w:hAnsi="Times New Roman"/>
          <w:sz w:val="20"/>
          <w:szCs w:val="21"/>
        </w:rPr>
        <w:t>では、ある治療法から別の治療法への移行に伴う正味の健康変化はないと仮定しているため、総コストの差だけで決定される。</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はまた、入札プロセスや多品目協定の利用など、コスト最小化を支援する活動も行っている</w:t>
      </w:r>
      <w:r w:rsidRPr="00F46EF2">
        <w:rPr>
          <w:rFonts w:ascii="Times New Roman" w:eastAsia="ＭＳ Ｐ明朝" w:hAnsi="Times New Roman"/>
          <w:sz w:val="20"/>
          <w:szCs w:val="21"/>
          <w:lang w:eastAsia="ja-JP"/>
        </w:rPr>
        <w:t>[20]</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5E33D6"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&lt;EndNote&gt;&lt;Cite&gt;&lt;Author&gt;Pharmaceutical Management Agency (PHARMAC New Zealand)&lt;/Author&gt;&lt;Year&gt;2022&lt;/Year&gt;&lt;RecNum&gt;433&lt;/RecNum&gt;&lt;DisplayText&gt;[20]&lt;/DisplayText&gt;&lt;record&gt;&lt;rec-number&gt;433&lt;/rec-number&gt;&lt;foreign-keys&gt;&lt;key app="EN" db-id="z25xddsz659sshedpdu5pda3dswx20f99sf9" timestamp="1711060096"&gt;433&lt;/key&gt;&lt;/foreign-keys&gt;&lt;ref-type name="Web Page"&gt;12&lt;/ref-type&gt;&lt;contributors&gt;&lt;authors&gt;&lt;author&gt;Pharmaceutical Management Agency (PHARMAC New Zealand),&lt;/author&gt;&lt;/authors&gt;&lt;/contributors&gt;&lt;titles&gt;&lt;title&gt;Medicines and medical devices contract negotiation&lt;/title&gt;&lt;/titles&gt;&lt;volume&gt;2024&lt;/volume&gt;&lt;number&gt;12 March&lt;/number&gt;&lt;dates&gt;&lt;year&gt;2022&lt;/year&gt;&lt;pub-dates&gt;&lt;date&gt;29 July 2022&lt;/date&gt;&lt;/pub-dates&gt;&lt;/dates&gt;&lt;urls&gt;&lt;related-urls&gt;&lt;url&gt;https://pharmac.govt.nz/medicine-funding-and-supply/the-funding-process/medicines-and-medical-devices-contract-negotiation&lt;/url&gt;&lt;/related-urls&gt;&lt;/urls&gt;&lt;/record&gt;&lt;/Cite&gt;&lt;/EndNote&gt;</w:instrText>
      </w:r>
      <w:r w:rsidR="005E33D6"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[20]</w:t>
      </w:r>
      <w:r w:rsidR="005E33D6" w:rsidRPr="00F46EF2">
        <w:rPr>
          <w:rFonts w:ascii="Times New Roman" w:eastAsia="ＭＳ Ｐ明朝" w:hAnsi="Times New Roman"/>
          <w:sz w:val="20"/>
          <w:szCs w:val="21"/>
        </w:rPr>
        <w:fldChar w:fldCharType="end"/>
      </w:r>
      <w:r w:rsidR="00BB738A"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p>
    <w:p w14:paraId="0637344E"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val="en-US" w:eastAsia="ja-JP"/>
        </w:rPr>
        <w:t>2</w:t>
      </w:r>
      <w:r w:rsidRPr="00F46EF2">
        <w:rPr>
          <w:rFonts w:ascii="Times New Roman" w:eastAsia="ＭＳ Ｐ明朝" w:hAnsi="Times New Roman"/>
          <w:sz w:val="20"/>
          <w:szCs w:val="21"/>
          <w:lang w:val="en-US" w:eastAsia="ja-JP"/>
        </w:rPr>
        <w:t>つの機関は、</w:t>
      </w:r>
      <w:r w:rsidR="00574797" w:rsidRPr="00F46EF2">
        <w:rPr>
          <w:rFonts w:ascii="Times New Roman" w:eastAsia="ＭＳ Ｐ明朝" w:hAnsi="Times New Roman"/>
          <w:sz w:val="20"/>
          <w:szCs w:val="21"/>
          <w:lang w:val="en-US" w:eastAsia="ja-JP"/>
        </w:rPr>
        <w:t>実質的な改善を主張する治療と比較して、非劣性を主張する製品の</w:t>
      </w:r>
      <w:r w:rsidR="00693A46" w:rsidRPr="00F46EF2">
        <w:rPr>
          <w:rFonts w:ascii="Times New Roman" w:eastAsia="ＭＳ Ｐ明朝" w:hAnsi="Times New Roman"/>
          <w:sz w:val="20"/>
          <w:szCs w:val="21"/>
          <w:lang w:val="en-US" w:eastAsia="ja-JP"/>
        </w:rPr>
        <w:t>評価について、より</w:t>
      </w:r>
      <w:r w:rsidR="00574797" w:rsidRPr="00F46EF2">
        <w:rPr>
          <w:rFonts w:ascii="Times New Roman" w:eastAsia="ＭＳ Ｐ明朝" w:hAnsi="Times New Roman"/>
          <w:sz w:val="20"/>
          <w:szCs w:val="21"/>
          <w:lang w:val="en-US" w:eastAsia="ja-JP"/>
        </w:rPr>
        <w:t>迅速なプロセスを有している（英国、</w:t>
      </w:r>
      <w:r w:rsidR="00574797" w:rsidRPr="00F46EF2">
        <w:rPr>
          <w:rFonts w:ascii="Times New Roman" w:eastAsia="ＭＳ Ｐ明朝" w:hAnsi="Times New Roman"/>
          <w:sz w:val="20"/>
          <w:szCs w:val="21"/>
          <w:lang w:val="en-US" w:eastAsia="ja-JP"/>
        </w:rPr>
        <w:t>NICE</w:t>
      </w:r>
      <w:r w:rsidR="00574797" w:rsidRPr="00F46EF2">
        <w:rPr>
          <w:rFonts w:ascii="Times New Roman" w:eastAsia="ＭＳ Ｐ明朝" w:hAnsi="Times New Roman"/>
          <w:sz w:val="20"/>
          <w:szCs w:val="21"/>
          <w:lang w:val="en-US" w:eastAsia="ja-JP"/>
        </w:rPr>
        <w:t>；シンガポール、</w:t>
      </w:r>
      <w:r w:rsidR="00574797" w:rsidRPr="00F46EF2">
        <w:rPr>
          <w:rFonts w:ascii="Times New Roman" w:eastAsia="ＭＳ Ｐ明朝" w:hAnsi="Times New Roman"/>
          <w:sz w:val="20"/>
          <w:szCs w:val="21"/>
          <w:lang w:val="en-US" w:eastAsia="ja-JP"/>
        </w:rPr>
        <w:t>ACE</w:t>
      </w:r>
      <w:r w:rsidR="00574797" w:rsidRPr="00F46EF2">
        <w:rPr>
          <w:rFonts w:ascii="Times New Roman" w:eastAsia="ＭＳ Ｐ明朝" w:hAnsi="Times New Roman"/>
          <w:sz w:val="20"/>
          <w:szCs w:val="21"/>
          <w:lang w:val="en-US" w:eastAsia="ja-JP"/>
        </w:rPr>
        <w:t>）。より迅速なプロセスは、同じ治療クラスまたは剤形が変更さ</w:t>
      </w:r>
      <w:r w:rsidR="008C54AB" w:rsidRPr="00F46EF2">
        <w:rPr>
          <w:rFonts w:ascii="Times New Roman" w:eastAsia="ＭＳ Ｐ明朝" w:hAnsi="Times New Roman"/>
          <w:sz w:val="20"/>
          <w:szCs w:val="21"/>
          <w:lang w:val="en-US" w:eastAsia="ja-JP"/>
        </w:rPr>
        <w:t>れた</w:t>
      </w:r>
      <w:r w:rsidR="00574797" w:rsidRPr="00F46EF2">
        <w:rPr>
          <w:rFonts w:ascii="Times New Roman" w:eastAsia="ＭＳ Ｐ明朝" w:hAnsi="Times New Roman"/>
          <w:sz w:val="20"/>
          <w:szCs w:val="21"/>
          <w:lang w:val="en-US" w:eastAsia="ja-JP"/>
        </w:rPr>
        <w:t>医薬品に使用され、</w:t>
      </w:r>
      <w:r w:rsidR="0077598E" w:rsidRPr="00F46EF2">
        <w:rPr>
          <w:rFonts w:ascii="Times New Roman" w:eastAsia="ＭＳ Ｐ明朝" w:hAnsi="Times New Roman"/>
          <w:sz w:val="20"/>
          <w:szCs w:val="21"/>
          <w:lang w:val="en-US" w:eastAsia="ja-JP"/>
        </w:rPr>
        <w:t>予算への影響と</w:t>
      </w:r>
      <w:r w:rsidR="00574797" w:rsidRPr="00F46EF2">
        <w:rPr>
          <w:rFonts w:ascii="Times New Roman" w:eastAsia="ＭＳ Ｐ明朝" w:hAnsi="Times New Roman"/>
          <w:sz w:val="20"/>
          <w:szCs w:val="21"/>
          <w:lang w:val="en-US" w:eastAsia="ja-JP"/>
        </w:rPr>
        <w:t>費用対効果の閾値が適用される。シンガポールの</w:t>
      </w:r>
      <w:r w:rsidR="00B40707" w:rsidRPr="00F46EF2">
        <w:rPr>
          <w:rFonts w:ascii="Times New Roman" w:eastAsia="ＭＳ Ｐ明朝" w:hAnsi="Times New Roman"/>
          <w:sz w:val="20"/>
          <w:szCs w:val="21"/>
          <w:lang w:val="en-US" w:eastAsia="ja-JP"/>
        </w:rPr>
        <w:t>ACE</w:t>
      </w:r>
      <w:r w:rsidR="00B40707" w:rsidRPr="00F46EF2">
        <w:rPr>
          <w:rFonts w:ascii="Times New Roman" w:eastAsia="ＭＳ Ｐ明朝" w:hAnsi="Times New Roman"/>
          <w:sz w:val="20"/>
          <w:szCs w:val="21"/>
          <w:lang w:val="en-US" w:eastAsia="ja-JP"/>
        </w:rPr>
        <w:t>は、非劣性を主張する製品については</w:t>
      </w:r>
      <w:r w:rsidR="00B40707" w:rsidRPr="00F46EF2">
        <w:rPr>
          <w:rFonts w:ascii="Times New Roman" w:eastAsia="ＭＳ Ｐ明朝" w:hAnsi="Times New Roman"/>
          <w:sz w:val="20"/>
          <w:szCs w:val="21"/>
          <w:lang w:val="en-US" w:eastAsia="ja-JP"/>
        </w:rPr>
        <w:t>2</w:t>
      </w:r>
      <w:r w:rsidR="00B40707" w:rsidRPr="00F46EF2">
        <w:rPr>
          <w:rFonts w:ascii="Times New Roman" w:eastAsia="ＭＳ Ｐ明朝" w:hAnsi="Times New Roman"/>
          <w:sz w:val="20"/>
          <w:szCs w:val="21"/>
          <w:lang w:val="en-US" w:eastAsia="ja-JP"/>
        </w:rPr>
        <w:t>〜</w:t>
      </w:r>
      <w:r w:rsidR="00B40707" w:rsidRPr="00F46EF2">
        <w:rPr>
          <w:rFonts w:ascii="Times New Roman" w:eastAsia="ＭＳ Ｐ明朝" w:hAnsi="Times New Roman"/>
          <w:sz w:val="20"/>
          <w:szCs w:val="21"/>
          <w:lang w:val="en-US" w:eastAsia="ja-JP"/>
        </w:rPr>
        <w:t>3</w:t>
      </w:r>
      <w:r w:rsidR="00B40707" w:rsidRPr="00F46EF2">
        <w:rPr>
          <w:rFonts w:ascii="Times New Roman" w:eastAsia="ＭＳ Ｐ明朝" w:hAnsi="Times New Roman"/>
          <w:sz w:val="20"/>
          <w:szCs w:val="21"/>
          <w:lang w:val="en-US" w:eastAsia="ja-JP"/>
        </w:rPr>
        <w:t>ヶ月の迅速評価を行っている（優越性を主張する製品については</w:t>
      </w:r>
      <w:r w:rsidR="00B40707" w:rsidRPr="00F46EF2">
        <w:rPr>
          <w:rFonts w:ascii="Times New Roman" w:eastAsia="ＭＳ Ｐ明朝" w:hAnsi="Times New Roman"/>
          <w:sz w:val="20"/>
          <w:szCs w:val="21"/>
          <w:lang w:val="en-US" w:eastAsia="ja-JP"/>
        </w:rPr>
        <w:t>6</w:t>
      </w:r>
      <w:r w:rsidR="00B40707" w:rsidRPr="00F46EF2">
        <w:rPr>
          <w:rFonts w:ascii="Times New Roman" w:eastAsia="ＭＳ Ｐ明朝" w:hAnsi="Times New Roman"/>
          <w:sz w:val="20"/>
          <w:szCs w:val="21"/>
          <w:lang w:val="en-US" w:eastAsia="ja-JP"/>
        </w:rPr>
        <w:t>〜</w:t>
      </w:r>
      <w:r w:rsidR="00B40707" w:rsidRPr="00F46EF2">
        <w:rPr>
          <w:rFonts w:ascii="Times New Roman" w:eastAsia="ＭＳ Ｐ明朝" w:hAnsi="Times New Roman"/>
          <w:sz w:val="20"/>
          <w:szCs w:val="21"/>
          <w:lang w:val="en-US" w:eastAsia="ja-JP"/>
        </w:rPr>
        <w:t>9</w:t>
      </w:r>
      <w:r w:rsidR="00B40707" w:rsidRPr="00F46EF2">
        <w:rPr>
          <w:rFonts w:ascii="Times New Roman" w:eastAsia="ＭＳ Ｐ明朝" w:hAnsi="Times New Roman"/>
          <w:sz w:val="20"/>
          <w:szCs w:val="21"/>
          <w:lang w:val="en-US" w:eastAsia="ja-JP"/>
        </w:rPr>
        <w:t>ヶ月、ワクチンについては</w:t>
      </w:r>
      <w:r w:rsidR="00B40707" w:rsidRPr="00F46EF2">
        <w:rPr>
          <w:rFonts w:ascii="Times New Roman" w:eastAsia="ＭＳ Ｐ明朝" w:hAnsi="Times New Roman"/>
          <w:sz w:val="20"/>
          <w:szCs w:val="21"/>
          <w:lang w:val="en-US" w:eastAsia="ja-JP"/>
        </w:rPr>
        <w:t>6</w:t>
      </w:r>
      <w:r w:rsidR="00B40707" w:rsidRPr="00F46EF2">
        <w:rPr>
          <w:rFonts w:ascii="Times New Roman" w:eastAsia="ＭＳ Ｐ明朝" w:hAnsi="Times New Roman"/>
          <w:sz w:val="20"/>
          <w:szCs w:val="21"/>
          <w:lang w:val="en-US" w:eastAsia="ja-JP"/>
        </w:rPr>
        <w:t>〜</w:t>
      </w:r>
      <w:r w:rsidR="00B40707" w:rsidRPr="00F46EF2">
        <w:rPr>
          <w:rFonts w:ascii="Times New Roman" w:eastAsia="ＭＳ Ｐ明朝" w:hAnsi="Times New Roman"/>
          <w:sz w:val="20"/>
          <w:szCs w:val="21"/>
          <w:lang w:val="en-US" w:eastAsia="ja-JP"/>
        </w:rPr>
        <w:t>12</w:t>
      </w:r>
      <w:r w:rsidR="00B40707" w:rsidRPr="00F46EF2">
        <w:rPr>
          <w:rFonts w:ascii="Times New Roman" w:eastAsia="ＭＳ Ｐ明朝" w:hAnsi="Times New Roman"/>
          <w:sz w:val="20"/>
          <w:szCs w:val="21"/>
          <w:lang w:val="en-US" w:eastAsia="ja-JP"/>
        </w:rPr>
        <w:t>ヶ月と推定される）。</w:t>
      </w:r>
      <w:r w:rsidR="0077598E" w:rsidRPr="00F46EF2">
        <w:rPr>
          <w:rFonts w:ascii="Times New Roman" w:eastAsia="ＭＳ Ｐ明朝" w:hAnsi="Times New Roman"/>
          <w:sz w:val="20"/>
          <w:szCs w:val="21"/>
          <w:lang w:val="en-US" w:eastAsia="ja-JP"/>
        </w:rPr>
        <w:t>シンガポールでは、</w:t>
      </w:r>
      <w:r w:rsidR="006B6416" w:rsidRPr="00F46EF2">
        <w:rPr>
          <w:rFonts w:ascii="Times New Roman" w:eastAsia="ＭＳ Ｐ明朝" w:hAnsi="Times New Roman"/>
          <w:sz w:val="20"/>
          <w:szCs w:val="21"/>
          <w:lang w:val="en-US" w:eastAsia="ja-JP"/>
        </w:rPr>
        <w:t>償還</w:t>
      </w:r>
      <w:r w:rsidR="00AB0E59" w:rsidRPr="00F46EF2">
        <w:rPr>
          <w:rFonts w:ascii="Times New Roman" w:eastAsia="ＭＳ Ｐ明朝" w:hAnsi="Times New Roman"/>
          <w:sz w:val="20"/>
          <w:szCs w:val="21"/>
          <w:lang w:val="en-US" w:eastAsia="ja-JP"/>
        </w:rPr>
        <w:t>委員会の</w:t>
      </w:r>
      <w:r w:rsidR="00A84C59" w:rsidRPr="00F46EF2">
        <w:rPr>
          <w:rFonts w:ascii="Times New Roman" w:eastAsia="ＭＳ Ｐ明朝" w:hAnsi="Times New Roman"/>
          <w:sz w:val="20"/>
          <w:szCs w:val="21"/>
          <w:lang w:val="en-US" w:eastAsia="ja-JP"/>
        </w:rPr>
        <w:t>勧告が融資承認に優先する</w:t>
      </w:r>
      <w:r w:rsidR="0077598E" w:rsidRPr="00F46EF2">
        <w:rPr>
          <w:rFonts w:ascii="Times New Roman" w:eastAsia="ＭＳ Ｐ明朝" w:hAnsi="Times New Roman"/>
          <w:sz w:val="20"/>
          <w:szCs w:val="21"/>
          <w:lang w:val="en-US" w:eastAsia="ja-JP"/>
        </w:rPr>
        <w:t>。</w:t>
      </w:r>
      <w:r w:rsidR="00B40707" w:rsidRPr="00F46EF2">
        <w:rPr>
          <w:rFonts w:ascii="Times New Roman" w:eastAsia="ＭＳ Ｐ明朝" w:hAnsi="Times New Roman"/>
          <w:sz w:val="20"/>
          <w:szCs w:val="21"/>
          <w:lang w:val="en-US" w:eastAsia="ja-JP"/>
        </w:rPr>
        <w:t>NICE</w:t>
      </w:r>
      <w:r w:rsidR="00B40707" w:rsidRPr="00F46EF2">
        <w:rPr>
          <w:rFonts w:ascii="Times New Roman" w:eastAsia="ＭＳ Ｐ明朝" w:hAnsi="Times New Roman"/>
          <w:sz w:val="20"/>
          <w:szCs w:val="21"/>
          <w:lang w:val="en-US" w:eastAsia="ja-JP"/>
        </w:rPr>
        <w:t>は、比例的アプローチを用いた</w:t>
      </w:r>
      <w:r w:rsidR="00B40707" w:rsidRPr="00F46EF2">
        <w:rPr>
          <w:rFonts w:ascii="Times New Roman" w:eastAsia="ＭＳ Ｐ明朝" w:hAnsi="Times New Roman"/>
          <w:sz w:val="20"/>
          <w:szCs w:val="21"/>
          <w:lang w:val="en-US" w:eastAsia="ja-JP"/>
        </w:rPr>
        <w:t>2</w:t>
      </w:r>
      <w:r w:rsidR="00B40707" w:rsidRPr="00F46EF2">
        <w:rPr>
          <w:rFonts w:ascii="Times New Roman" w:eastAsia="ＭＳ Ｐ明朝" w:hAnsi="Times New Roman"/>
          <w:sz w:val="20"/>
          <w:szCs w:val="21"/>
          <w:lang w:val="en-US" w:eastAsia="ja-JP"/>
        </w:rPr>
        <w:t>つの異なる方法を概説している：</w:t>
      </w:r>
      <w:r w:rsidR="00B40707" w:rsidRPr="00F46EF2">
        <w:rPr>
          <w:rFonts w:ascii="Times New Roman" w:eastAsia="ＭＳ Ｐ明朝" w:hAnsi="Times New Roman"/>
          <w:sz w:val="20"/>
          <w:szCs w:val="21"/>
          <w:lang w:val="en-US" w:eastAsia="ja-JP"/>
        </w:rPr>
        <w:t>1</w:t>
      </w:r>
      <w:r w:rsidR="00B40707" w:rsidRPr="00F46EF2">
        <w:rPr>
          <w:rFonts w:ascii="Times New Roman" w:eastAsia="ＭＳ Ｐ明朝" w:hAnsi="Times New Roman"/>
          <w:sz w:val="20"/>
          <w:szCs w:val="21"/>
          <w:lang w:val="en-US" w:eastAsia="ja-JP"/>
        </w:rPr>
        <w:t>）コスト比較評</w:t>
      </w:r>
      <w:r w:rsidR="00B40707" w:rsidRPr="00F46EF2">
        <w:rPr>
          <w:rFonts w:ascii="Times New Roman" w:eastAsia="ＭＳ Ｐ明朝" w:hAnsi="Times New Roman"/>
          <w:sz w:val="20"/>
          <w:szCs w:val="21"/>
          <w:lang w:val="en-US" w:eastAsia="ja-JP"/>
        </w:rPr>
        <w:lastRenderedPageBreak/>
        <w:t>価、</w:t>
      </w:r>
      <w:r w:rsidR="00B40707" w:rsidRPr="00F46EF2">
        <w:rPr>
          <w:rFonts w:ascii="Times New Roman" w:eastAsia="ＭＳ Ｐ明朝" w:hAnsi="Times New Roman"/>
          <w:sz w:val="20"/>
          <w:szCs w:val="21"/>
          <w:lang w:val="en-US" w:eastAsia="ja-JP"/>
        </w:rPr>
        <w:t>2</w:t>
      </w:r>
      <w:r w:rsidR="00B40707" w:rsidRPr="00F46EF2">
        <w:rPr>
          <w:rFonts w:ascii="Times New Roman" w:eastAsia="ＭＳ Ｐ明朝" w:hAnsi="Times New Roman"/>
          <w:sz w:val="20"/>
          <w:szCs w:val="21"/>
          <w:lang w:val="en-US" w:eastAsia="ja-JP"/>
        </w:rPr>
        <w:t>）合理化された意思決定</w:t>
      </w:r>
      <w:r w:rsidR="00B40707" w:rsidRPr="00F46EF2">
        <w:rPr>
          <w:rFonts w:ascii="Times New Roman" w:eastAsia="ＭＳ Ｐ明朝" w:hAnsi="Times New Roman"/>
          <w:sz w:val="20"/>
          <w:szCs w:val="21"/>
          <w:lang w:val="en-US" w:eastAsia="ja-JP"/>
        </w:rPr>
        <w:t>-</w:t>
      </w:r>
      <w:r w:rsidR="00B40707" w:rsidRPr="00F46EF2">
        <w:rPr>
          <w:rFonts w:ascii="Times New Roman" w:eastAsia="ＭＳ Ｐ明朝" w:hAnsi="Times New Roman"/>
          <w:sz w:val="20"/>
          <w:szCs w:val="21"/>
          <w:lang w:eastAsia="ja-JP"/>
        </w:rPr>
        <w:t>コスト比較に適さない技術評価の場合。</w:t>
      </w:r>
      <w:r w:rsidR="00B40707" w:rsidRPr="00F46EF2">
        <w:rPr>
          <w:rFonts w:ascii="Times New Roman" w:eastAsia="ＭＳ Ｐ明朝" w:hAnsi="Times New Roman"/>
          <w:sz w:val="20"/>
          <w:szCs w:val="21"/>
          <w:lang w:eastAsia="ja-JP"/>
        </w:rPr>
        <w:t>NICE</w:t>
      </w:r>
      <w:r w:rsidR="00B40707" w:rsidRPr="00F46EF2">
        <w:rPr>
          <w:rFonts w:ascii="Times New Roman" w:eastAsia="ＭＳ Ｐ明朝" w:hAnsi="Times New Roman"/>
          <w:sz w:val="20"/>
          <w:szCs w:val="21"/>
          <w:lang w:eastAsia="ja-JP"/>
        </w:rPr>
        <w:t>ガイドライン（</w:t>
      </w:r>
      <w:r w:rsidR="00B40707" w:rsidRPr="00F46EF2">
        <w:rPr>
          <w:rFonts w:ascii="Times New Roman" w:eastAsia="ＭＳ Ｐ明朝" w:hAnsi="Times New Roman"/>
          <w:sz w:val="20"/>
          <w:szCs w:val="21"/>
          <w:lang w:eastAsia="ja-JP"/>
        </w:rPr>
        <w:t>2022</w:t>
      </w:r>
      <w:r w:rsidR="00B40707" w:rsidRPr="00F46EF2">
        <w:rPr>
          <w:rFonts w:ascii="Times New Roman" w:eastAsia="ＭＳ Ｐ明朝" w:hAnsi="Times New Roman"/>
          <w:sz w:val="20"/>
          <w:szCs w:val="21"/>
          <w:lang w:eastAsia="ja-JP"/>
        </w:rPr>
        <w:t>年）は、評価の全段階について絶対的なスケジュールを設定することは不可能であると規定している。</w:t>
      </w:r>
      <w:r w:rsidR="00B40707" w:rsidRPr="00F46EF2">
        <w:rPr>
          <w:rFonts w:ascii="Times New Roman" w:eastAsia="ＭＳ Ｐ明朝" w:hAnsi="Times New Roman"/>
          <w:sz w:val="20"/>
          <w:szCs w:val="21"/>
          <w:lang w:eastAsia="ja-JP"/>
        </w:rPr>
        <w:t xml:space="preserve"> </w:t>
      </w:r>
    </w:p>
    <w:p w14:paraId="0EDE36BB" w14:textId="77777777" w:rsidR="00FF745D" w:rsidRDefault="00000000">
      <w:pPr>
        <w:pStyle w:val="a3"/>
        <w:rPr>
          <w:rFonts w:ascii="Times New Roman" w:eastAsia="ＭＳ Ｐ明朝" w:hAnsi="Times New Roman"/>
          <w:sz w:val="20"/>
          <w:szCs w:val="21"/>
        </w:rPr>
      </w:pPr>
      <w:r w:rsidRPr="00F46EF2">
        <w:rPr>
          <w:rFonts w:ascii="Times New Roman" w:eastAsia="ＭＳ Ｐ明朝" w:hAnsi="Times New Roman"/>
          <w:sz w:val="20"/>
          <w:szCs w:val="21"/>
          <w:lang w:eastAsia="ja-JP"/>
        </w:rPr>
        <w:t>オーストラリアでは、すべての新薬承認申請が</w:t>
      </w:r>
      <w:r w:rsidRPr="00F46EF2">
        <w:rPr>
          <w:rFonts w:ascii="Times New Roman" w:eastAsia="ＭＳ Ｐ明朝" w:hAnsi="Times New Roman"/>
          <w:sz w:val="20"/>
          <w:szCs w:val="21"/>
          <w:lang w:eastAsia="ja-JP"/>
        </w:rPr>
        <w:t>17</w:t>
      </w:r>
      <w:r w:rsidRPr="00F46EF2">
        <w:rPr>
          <w:rFonts w:ascii="Times New Roman" w:eastAsia="ＭＳ Ｐ明朝" w:hAnsi="Times New Roman"/>
          <w:sz w:val="20"/>
          <w:szCs w:val="21"/>
          <w:lang w:eastAsia="ja-JP"/>
        </w:rPr>
        <w:t>週間のサイクルで</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によって評価される。つまり、非劣性を主張する医薬品は、優越性を主張する医薬品と同じスケジュールで処理される。しかし、この評価サイクルには、収載勧告が出なかった場合のエビデンスの再提出やモデリングの可能性が含まれていないため、最初の申請から</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収載までの期間は、</w:t>
      </w:r>
      <w:r w:rsidRPr="00F46EF2">
        <w:rPr>
          <w:rFonts w:ascii="Times New Roman" w:eastAsia="ＭＳ Ｐ明朝" w:hAnsi="Times New Roman"/>
          <w:sz w:val="20"/>
          <w:szCs w:val="21"/>
          <w:lang w:eastAsia="ja-JP"/>
        </w:rPr>
        <w:t>17</w:t>
      </w:r>
      <w:r w:rsidRPr="00F46EF2">
        <w:rPr>
          <w:rFonts w:ascii="Times New Roman" w:eastAsia="ＭＳ Ｐ明朝" w:hAnsi="Times New Roman"/>
          <w:sz w:val="20"/>
          <w:szCs w:val="21"/>
          <w:lang w:eastAsia="ja-JP"/>
        </w:rPr>
        <w:t>週間よりも大幅に長くなる可能性がある。この期間に加え、</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が医薬品の収載を勧告した後、申請</w:t>
      </w:r>
      <w:r w:rsidR="001F1926" w:rsidRPr="00F46EF2">
        <w:rPr>
          <w:rFonts w:ascii="Times New Roman" w:eastAsia="ＭＳ Ｐ明朝" w:hAnsi="Times New Roman"/>
          <w:sz w:val="20"/>
          <w:szCs w:val="21"/>
          <w:lang w:eastAsia="ja-JP"/>
        </w:rPr>
        <w:t>者と保健高齢者医療省（</w:t>
      </w:r>
      <w:r w:rsidR="001F1926" w:rsidRPr="00F46EF2">
        <w:rPr>
          <w:rFonts w:ascii="Times New Roman" w:eastAsia="ＭＳ Ｐ明朝" w:hAnsi="Times New Roman"/>
          <w:sz w:val="20"/>
          <w:szCs w:val="21"/>
          <w:lang w:eastAsia="ja-JP"/>
        </w:rPr>
        <w:t>DoHAC</w:t>
      </w:r>
      <w:r w:rsidRPr="00F46EF2">
        <w:rPr>
          <w:rFonts w:ascii="Times New Roman" w:eastAsia="ＭＳ Ｐ明朝" w:hAnsi="Times New Roman"/>
          <w:sz w:val="20"/>
          <w:szCs w:val="21"/>
          <w:lang w:eastAsia="ja-JP"/>
        </w:rPr>
        <w:t>）との間で、価格設定と予算への影響の最終確認が行われる。</w:t>
      </w:r>
      <w:r w:rsidRPr="00F46EF2">
        <w:rPr>
          <w:rFonts w:ascii="Times New Roman" w:eastAsia="ＭＳ Ｐ明朝" w:hAnsi="Times New Roman"/>
          <w:sz w:val="20"/>
          <w:szCs w:val="21"/>
          <w:lang w:eastAsia="ja-JP"/>
        </w:rPr>
        <w:t xml:space="preserve"> </w:t>
      </w:r>
      <w:r w:rsidR="00BA1E1E"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Government&lt;/Author&gt;&lt;Year&gt;2020&lt;/Year&gt;&lt;RecNum&gt;114&lt;/RecNum&gt;&lt;DisplayText&gt;[21]&lt;/DisplayText&gt;&lt;record&gt;&lt;rec-number&gt;114&lt;/rec-number&gt;&lt;foreign-keys&gt;&lt;key app="EN" db-id="z25xddsz659sshedpdu5pda3dswx20f99sf9" timestamp="1692002023"&gt;114&lt;/key&gt;&lt;/foreign-keys&gt;&lt;ref-type name="Government Document"&gt;46&lt;/ref-type&gt;&lt;contributors&gt;&lt;authors&gt;&lt;author&gt;Australian Government,&lt;/author&gt;&lt;/authors&gt;&lt;secondary-authors&gt;&lt;author&gt;Department of Health and Aged Care,&lt;/author&gt;&lt;/secondary-authors&gt;&lt;/contributors&gt;&lt;titles&gt;&lt;title&gt;Procedure guidance for listing medicines on the Pharmaceutical Benefits Scheme Version 2.5&lt;/title&gt;&lt;/titles&gt;&lt;dates&gt;&lt;year&gt;2020&lt;/year&gt;&lt;/dates&gt;&lt;urls&gt;&lt;/urls&gt;&lt;/record&gt;&lt;/Cite&gt;&lt;/EndNote&gt;</w:instrText>
      </w:r>
      <w:r w:rsidR="00BA1E1E"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rPr>
        <w:t>[21]</w:t>
      </w:r>
      <w:r w:rsidR="00BA1E1E" w:rsidRPr="00F46EF2">
        <w:rPr>
          <w:rFonts w:ascii="Times New Roman" w:eastAsia="ＭＳ Ｐ明朝" w:hAnsi="Times New Roman"/>
          <w:sz w:val="20"/>
          <w:szCs w:val="21"/>
        </w:rPr>
        <w:fldChar w:fldCharType="end"/>
      </w:r>
      <w:r w:rsidR="00B40707" w:rsidRPr="00F46EF2">
        <w:rPr>
          <w:rFonts w:ascii="Times New Roman" w:eastAsia="ＭＳ Ｐ明朝" w:hAnsi="Times New Roman"/>
          <w:sz w:val="20"/>
          <w:szCs w:val="21"/>
        </w:rPr>
        <w:t>.</w:t>
      </w:r>
      <w:r w:rsidR="00D62FA0" w:rsidRPr="00F46EF2">
        <w:rPr>
          <w:rFonts w:ascii="Times New Roman" w:eastAsia="ＭＳ Ｐ明朝" w:hAnsi="Times New Roman"/>
          <w:sz w:val="20"/>
          <w:szCs w:val="21"/>
        </w:rPr>
        <w:t xml:space="preserve">  </w:t>
      </w:r>
    </w:p>
    <w:p w14:paraId="1EA1E810" w14:textId="77777777" w:rsidR="00156C9E" w:rsidRPr="00F46EF2" w:rsidRDefault="00156C9E">
      <w:pPr>
        <w:pStyle w:val="a3"/>
        <w:rPr>
          <w:rFonts w:ascii="Times New Roman" w:eastAsia="ＭＳ Ｐ明朝" w:hAnsi="Times New Roman"/>
          <w:sz w:val="20"/>
          <w:szCs w:val="21"/>
        </w:rPr>
      </w:pPr>
    </w:p>
    <w:p w14:paraId="7DE665B8" w14:textId="77777777" w:rsidR="00FF745D" w:rsidRPr="00F46EF2" w:rsidRDefault="00000000">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実質的な改善に関する医療技術の主張</w:t>
      </w:r>
      <w:proofErr w:type="spellEnd"/>
    </w:p>
    <w:p w14:paraId="0AD9301E"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優越性を主張する医療技術、すなわち代替技術と比較して有効性や安全性が大幅に改善された医療技術については、費用対効果分析（</w:t>
      </w:r>
      <w:r w:rsidRPr="00F46EF2">
        <w:rPr>
          <w:rFonts w:ascii="Times New Roman" w:eastAsia="ＭＳ Ｐ明朝" w:hAnsi="Times New Roman"/>
          <w:sz w:val="20"/>
          <w:szCs w:val="21"/>
          <w:lang w:eastAsia="ja-JP"/>
        </w:rPr>
        <w:t>CEA</w:t>
      </w:r>
      <w:r w:rsidRPr="00F46EF2">
        <w:rPr>
          <w:rFonts w:ascii="Times New Roman" w:eastAsia="ＭＳ Ｐ明朝" w:hAnsi="Times New Roman"/>
          <w:sz w:val="20"/>
          <w:szCs w:val="21"/>
          <w:lang w:eastAsia="ja-JP"/>
        </w:rPr>
        <w:t>）や費用効用分析（</w:t>
      </w:r>
      <w:r w:rsidRPr="00F46EF2">
        <w:rPr>
          <w:rFonts w:ascii="Times New Roman" w:eastAsia="ＭＳ Ｐ明朝" w:hAnsi="Times New Roman"/>
          <w:sz w:val="20"/>
          <w:szCs w:val="21"/>
          <w:lang w:eastAsia="ja-JP"/>
        </w:rPr>
        <w:t>CUA</w:t>
      </w:r>
      <w:r w:rsidRPr="00F46EF2">
        <w:rPr>
          <w:rFonts w:ascii="Times New Roman" w:eastAsia="ＭＳ Ｐ明朝" w:hAnsi="Times New Roman"/>
          <w:sz w:val="20"/>
          <w:szCs w:val="21"/>
          <w:lang w:eastAsia="ja-JP"/>
        </w:rPr>
        <w:t>）が経済評価のアプローチとして推奨されている。豪州のアプローチは、分析の視点が医療提供者のものであり、医療技術の費用対効果を知るために</w:t>
      </w:r>
      <w:r w:rsidRPr="00F46EF2">
        <w:rPr>
          <w:rFonts w:ascii="Times New Roman" w:eastAsia="ＭＳ Ｐ明朝" w:hAnsi="Times New Roman"/>
          <w:sz w:val="20"/>
          <w:szCs w:val="21"/>
          <w:lang w:eastAsia="ja-JP"/>
        </w:rPr>
        <w:t>CUA/CEA</w:t>
      </w:r>
      <w:r w:rsidRPr="00F46EF2">
        <w:rPr>
          <w:rFonts w:ascii="Times New Roman" w:eastAsia="ＭＳ Ｐ明朝" w:hAnsi="Times New Roman"/>
          <w:sz w:val="20"/>
          <w:szCs w:val="21"/>
          <w:lang w:eastAsia="ja-JP"/>
        </w:rPr>
        <w:t>に依存している、ほとんどの機関と一致している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917B482" w14:textId="63CC8E43" w:rsidR="00FF745D" w:rsidRPr="00F46EF2" w:rsidRDefault="00000000">
      <w:pPr>
        <w:pStyle w:val="NbrHeading3"/>
        <w:rPr>
          <w:rFonts w:ascii="Times New Roman" w:eastAsia="ＭＳ Ｐ明朝" w:hAnsi="Times New Roman"/>
          <w:sz w:val="20"/>
          <w:szCs w:val="21"/>
          <w:lang w:eastAsia="ja-JP"/>
        </w:rPr>
      </w:pPr>
      <w:bookmarkStart w:id="12" w:name="_Toc161997082"/>
      <w:r w:rsidRPr="00F46EF2">
        <w:rPr>
          <w:rFonts w:ascii="Times New Roman" w:eastAsia="ＭＳ Ｐ明朝" w:hAnsi="Times New Roman"/>
          <w:sz w:val="20"/>
          <w:szCs w:val="21"/>
          <w:lang w:eastAsia="ja-JP"/>
        </w:rPr>
        <w:t>オーストラリアおよび国際的な健康アウトカムとリスク／</w:t>
      </w:r>
      <w:r w:rsidR="00156C9E">
        <w:rPr>
          <w:rFonts w:ascii="Times New Roman" w:eastAsia="ＭＳ Ｐ明朝" w:hAnsi="Times New Roman" w:hint="eastAsia"/>
          <w:sz w:val="20"/>
          <w:szCs w:val="21"/>
          <w:lang w:eastAsia="ja-JP"/>
        </w:rPr>
        <w:t>有害性</w:t>
      </w:r>
      <w:r w:rsidRPr="00F46EF2">
        <w:rPr>
          <w:rFonts w:ascii="Times New Roman" w:eastAsia="ＭＳ Ｐ明朝" w:hAnsi="Times New Roman"/>
          <w:sz w:val="20"/>
          <w:szCs w:val="21"/>
          <w:lang w:eastAsia="ja-JP"/>
        </w:rPr>
        <w:t>の重み付け：</w:t>
      </w:r>
      <w:bookmarkEnd w:id="12"/>
    </w:p>
    <w:p w14:paraId="2D74AF40" w14:textId="4D82CDA9"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介入の健康アウトカムとリスク・有害性の</w:t>
      </w:r>
      <w:r w:rsidR="00BE785D" w:rsidRPr="00F46EF2">
        <w:rPr>
          <w:rFonts w:ascii="Times New Roman" w:eastAsia="ＭＳ Ｐ明朝" w:hAnsi="Times New Roman"/>
          <w:sz w:val="20"/>
          <w:szCs w:val="21"/>
          <w:lang w:eastAsia="ja-JP"/>
        </w:rPr>
        <w:t>トレードオフを評価する</w:t>
      </w:r>
      <w:r w:rsidRPr="00F46EF2">
        <w:rPr>
          <w:rFonts w:ascii="Times New Roman" w:eastAsia="ＭＳ Ｐ明朝" w:hAnsi="Times New Roman"/>
          <w:sz w:val="20"/>
          <w:szCs w:val="21"/>
          <w:lang w:eastAsia="ja-JP"/>
        </w:rPr>
        <w:t>ために、様々な方法が用いられてきた。本節では、健康アウトカムとリスク・有害性に関連する</w:t>
      </w:r>
      <w:r w:rsidR="00BE785D" w:rsidRPr="00F46EF2">
        <w:rPr>
          <w:rFonts w:ascii="Times New Roman" w:eastAsia="ＭＳ Ｐ明朝" w:hAnsi="Times New Roman"/>
          <w:sz w:val="20"/>
          <w:szCs w:val="21"/>
          <w:lang w:eastAsia="ja-JP"/>
        </w:rPr>
        <w:t>HTA</w:t>
      </w:r>
      <w:r w:rsidR="00BE785D" w:rsidRPr="00F46EF2">
        <w:rPr>
          <w:rFonts w:ascii="Times New Roman" w:eastAsia="ＭＳ Ｐ明朝" w:hAnsi="Times New Roman"/>
          <w:sz w:val="20"/>
          <w:szCs w:val="21"/>
          <w:lang w:eastAsia="ja-JP"/>
        </w:rPr>
        <w:t>において、これらのトレードオフと重み付けが</w:t>
      </w:r>
      <w:r w:rsidRPr="00F46EF2">
        <w:rPr>
          <w:rFonts w:ascii="Times New Roman" w:eastAsia="ＭＳ Ｐ明朝" w:hAnsi="Times New Roman"/>
          <w:sz w:val="20"/>
          <w:szCs w:val="21"/>
          <w:lang w:eastAsia="ja-JP"/>
        </w:rPr>
        <w:t>どのように</w:t>
      </w:r>
      <w:r w:rsidR="00BE785D" w:rsidRPr="00F46EF2">
        <w:rPr>
          <w:rFonts w:ascii="Times New Roman" w:eastAsia="ＭＳ Ｐ明朝" w:hAnsi="Times New Roman"/>
          <w:sz w:val="20"/>
          <w:szCs w:val="21"/>
          <w:lang w:eastAsia="ja-JP"/>
        </w:rPr>
        <w:t>決定され、適用されてきたかを、</w:t>
      </w:r>
      <w:r w:rsidRPr="00F46EF2">
        <w:rPr>
          <w:rFonts w:ascii="Times New Roman" w:eastAsia="ＭＳ Ｐ明朝" w:hAnsi="Times New Roman"/>
          <w:sz w:val="20"/>
          <w:szCs w:val="21"/>
          <w:lang w:eastAsia="ja-JP"/>
        </w:rPr>
        <w:t>重み付け尺度の</w:t>
      </w:r>
      <w:r w:rsidR="00BE785D" w:rsidRPr="00F46EF2">
        <w:rPr>
          <w:rFonts w:ascii="Times New Roman" w:eastAsia="ＭＳ Ｐ明朝" w:hAnsi="Times New Roman"/>
          <w:sz w:val="20"/>
          <w:szCs w:val="21"/>
          <w:lang w:eastAsia="ja-JP"/>
        </w:rPr>
        <w:t>使用</w:t>
      </w:r>
      <w:r w:rsidRPr="00F46EF2">
        <w:rPr>
          <w:rFonts w:ascii="Times New Roman" w:eastAsia="ＭＳ Ｐ明朝" w:hAnsi="Times New Roman"/>
          <w:sz w:val="20"/>
          <w:szCs w:val="21"/>
          <w:lang w:eastAsia="ja-JP"/>
        </w:rPr>
        <w:t>、患者に関連するアウトカム、患者の嗜好、間接的・非健康的便益に</w:t>
      </w:r>
      <w:r w:rsidR="00BE785D" w:rsidRPr="00F46EF2">
        <w:rPr>
          <w:rFonts w:ascii="Times New Roman" w:eastAsia="ＭＳ Ｐ明朝" w:hAnsi="Times New Roman"/>
          <w:sz w:val="20"/>
          <w:szCs w:val="21"/>
          <w:lang w:eastAsia="ja-JP"/>
        </w:rPr>
        <w:t>焦点を当てて議論する。健康アウト</w:t>
      </w:r>
      <w:r w:rsidR="00693A46" w:rsidRPr="00F46EF2">
        <w:rPr>
          <w:rFonts w:ascii="Times New Roman" w:eastAsia="ＭＳ Ｐ明朝" w:hAnsi="Times New Roman"/>
          <w:sz w:val="20"/>
          <w:szCs w:val="21"/>
          <w:lang w:eastAsia="ja-JP"/>
        </w:rPr>
        <w:t>カムとリスク・危害の重み付けについて、</w:t>
      </w:r>
      <w:r w:rsidR="0064555B" w:rsidRPr="00F46EF2">
        <w:rPr>
          <w:rFonts w:ascii="Times New Roman" w:eastAsia="ＭＳ Ｐ明朝" w:hAnsi="Times New Roman"/>
          <w:sz w:val="20"/>
          <w:szCs w:val="21"/>
          <w:lang w:eastAsia="ja-JP"/>
        </w:rPr>
        <w:t>各法域で</w:t>
      </w:r>
      <w:r w:rsidR="00693A46" w:rsidRPr="00F46EF2">
        <w:rPr>
          <w:rFonts w:ascii="Times New Roman" w:eastAsia="ＭＳ Ｐ明朝" w:hAnsi="Times New Roman"/>
          <w:sz w:val="20"/>
          <w:szCs w:val="21"/>
          <w:lang w:eastAsia="ja-JP"/>
        </w:rPr>
        <w:t>適用されている</w:t>
      </w:r>
      <w:r w:rsidRPr="00F46EF2">
        <w:rPr>
          <w:rFonts w:ascii="Times New Roman" w:eastAsia="ＭＳ Ｐ明朝" w:hAnsi="Times New Roman"/>
          <w:sz w:val="20"/>
          <w:szCs w:val="21"/>
          <w:lang w:eastAsia="ja-JP"/>
        </w:rPr>
        <w:t>方法の要約を以下に示す。</w:t>
      </w:r>
      <w:r w:rsidRPr="00F46EF2">
        <w:rPr>
          <w:rFonts w:ascii="Times New Roman" w:eastAsia="ＭＳ Ｐ明朝" w:hAnsi="Times New Roman"/>
          <w:sz w:val="20"/>
          <w:szCs w:val="21"/>
          <w:lang w:eastAsia="ja-JP"/>
        </w:rPr>
        <w:t xml:space="preserve"> </w:t>
      </w:r>
      <w:r w:rsidR="002B3DCF" w:rsidRPr="00F46EF2">
        <w:rPr>
          <w:rFonts w:ascii="Times New Roman" w:eastAsia="ＭＳ Ｐ明朝" w:hAnsi="Times New Roman"/>
          <w:sz w:val="20"/>
          <w:szCs w:val="21"/>
        </w:rPr>
        <w:fldChar w:fldCharType="begin"/>
      </w:r>
      <w:r w:rsidR="002B3DCF" w:rsidRPr="00F46EF2">
        <w:rPr>
          <w:rFonts w:ascii="Times New Roman" w:eastAsia="ＭＳ Ｐ明朝" w:hAnsi="Times New Roman"/>
          <w:sz w:val="20"/>
          <w:szCs w:val="21"/>
          <w:lang w:eastAsia="ja-JP"/>
        </w:rPr>
        <w:instrText xml:space="preserve"> REF _Ref146369493 \h </w:instrText>
      </w:r>
      <w:r w:rsidR="002B3DCF"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002B3DCF"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表</w:t>
      </w:r>
      <w:r w:rsidR="00356B5C" w:rsidRPr="00F46EF2">
        <w:rPr>
          <w:rFonts w:ascii="Times New Roman" w:eastAsia="ＭＳ Ｐ明朝" w:hAnsi="Times New Roman"/>
          <w:noProof/>
          <w:sz w:val="20"/>
          <w:szCs w:val="21"/>
          <w:lang w:eastAsia="ja-JP"/>
        </w:rPr>
        <w:t>2</w:t>
      </w:r>
      <w:r w:rsidR="002B3DCF" w:rsidRPr="00F46EF2">
        <w:rPr>
          <w:rFonts w:ascii="Times New Roman" w:eastAsia="ＭＳ Ｐ明朝" w:hAnsi="Times New Roman"/>
          <w:sz w:val="20"/>
          <w:szCs w:val="21"/>
        </w:rPr>
        <w:fldChar w:fldCharType="end"/>
      </w:r>
      <w:r w:rsidR="00D62FA0" w:rsidRPr="00F46EF2">
        <w:rPr>
          <w:rFonts w:ascii="Times New Roman" w:eastAsia="ＭＳ Ｐ明朝" w:hAnsi="Times New Roman"/>
          <w:sz w:val="20"/>
          <w:szCs w:val="21"/>
          <w:lang w:eastAsia="ja-JP"/>
        </w:rPr>
        <w:t xml:space="preserve">. </w:t>
      </w:r>
    </w:p>
    <w:p w14:paraId="70627831" w14:textId="77777777" w:rsidR="00156C9E" w:rsidRPr="00F93C4D" w:rsidRDefault="00156C9E" w:rsidP="00156C9E">
      <w:pPr>
        <w:pStyle w:val="af8"/>
      </w:pPr>
      <w:bookmarkStart w:id="13" w:name="_Ref146369493"/>
      <w:r w:rsidRPr="00693D5C">
        <w:t xml:space="preserve">Table </w:t>
      </w:r>
      <w:r>
        <w:fldChar w:fldCharType="begin"/>
      </w:r>
      <w:r>
        <w:instrText xml:space="preserve"> SEQ Table \* ARABIC </w:instrText>
      </w:r>
      <w:r>
        <w:fldChar w:fldCharType="separate"/>
      </w:r>
      <w:r>
        <w:rPr>
          <w:noProof/>
        </w:rPr>
        <w:t>2</w:t>
      </w:r>
      <w:r>
        <w:rPr>
          <w:noProof/>
        </w:rPr>
        <w:fldChar w:fldCharType="end"/>
      </w:r>
      <w:bookmarkEnd w:id="13"/>
      <w:r w:rsidRPr="00693D5C">
        <w:tab/>
        <w:t>Methods for weighting of health outcomes and risks/harms</w:t>
      </w:r>
    </w:p>
    <w:tbl>
      <w:tblPr>
        <w:tblStyle w:val="af2"/>
        <w:tblW w:w="5000" w:type="pct"/>
        <w:tblLook w:val="04A0" w:firstRow="1" w:lastRow="0" w:firstColumn="1" w:lastColumn="0" w:noHBand="0" w:noVBand="1"/>
        <w:tblCaption w:val="Methods for weighting of health outcomes and risks/harms"/>
      </w:tblPr>
      <w:tblGrid>
        <w:gridCol w:w="1731"/>
        <w:gridCol w:w="1520"/>
        <w:gridCol w:w="1502"/>
        <w:gridCol w:w="4307"/>
      </w:tblGrid>
      <w:tr w:rsidR="00156C9E" w:rsidRPr="00AA04C9" w14:paraId="3030BC73" w14:textId="77777777" w:rsidTr="00634CA1">
        <w:trPr>
          <w:tblHeader/>
        </w:trPr>
        <w:tc>
          <w:tcPr>
            <w:tcW w:w="955" w:type="pct"/>
            <w:vMerge w:val="restart"/>
          </w:tcPr>
          <w:p w14:paraId="0CA9D5B5" w14:textId="77777777" w:rsidR="00156C9E" w:rsidRPr="00856986" w:rsidRDefault="00156C9E" w:rsidP="00634CA1">
            <w:pPr>
              <w:rPr>
                <w:b/>
                <w:bCs/>
              </w:rPr>
            </w:pPr>
            <w:r w:rsidRPr="00856986">
              <w:rPr>
                <w:b/>
                <w:bCs/>
              </w:rPr>
              <w:t>Method</w:t>
            </w:r>
          </w:p>
        </w:tc>
        <w:tc>
          <w:tcPr>
            <w:tcW w:w="1668" w:type="pct"/>
            <w:gridSpan w:val="2"/>
          </w:tcPr>
          <w:p w14:paraId="6A78356D" w14:textId="77777777" w:rsidR="00156C9E" w:rsidRPr="00856986" w:rsidRDefault="00156C9E" w:rsidP="00634CA1">
            <w:pPr>
              <w:rPr>
                <w:b/>
                <w:bCs/>
              </w:rPr>
            </w:pPr>
            <w:r w:rsidRPr="00856986">
              <w:rPr>
                <w:b/>
                <w:bCs/>
              </w:rPr>
              <w:t>Point of application within HTA</w:t>
            </w:r>
          </w:p>
        </w:tc>
        <w:tc>
          <w:tcPr>
            <w:tcW w:w="2377" w:type="pct"/>
            <w:vMerge w:val="restart"/>
          </w:tcPr>
          <w:p w14:paraId="20A68B0A" w14:textId="77777777" w:rsidR="00156C9E" w:rsidRPr="00856986" w:rsidRDefault="00156C9E" w:rsidP="00634CA1">
            <w:pPr>
              <w:rPr>
                <w:b/>
                <w:bCs/>
              </w:rPr>
            </w:pPr>
            <w:r w:rsidRPr="00856986">
              <w:rPr>
                <w:b/>
                <w:bCs/>
              </w:rPr>
              <w:t>Comments/reasons for application</w:t>
            </w:r>
          </w:p>
        </w:tc>
      </w:tr>
      <w:tr w:rsidR="00156C9E" w:rsidRPr="00AA04C9" w14:paraId="6F658866" w14:textId="77777777" w:rsidTr="00634CA1">
        <w:trPr>
          <w:tblHeader/>
        </w:trPr>
        <w:tc>
          <w:tcPr>
            <w:tcW w:w="955" w:type="pct"/>
            <w:vMerge/>
          </w:tcPr>
          <w:p w14:paraId="58BA5BFF" w14:textId="77777777" w:rsidR="00156C9E" w:rsidRPr="00AA04C9" w:rsidRDefault="00156C9E" w:rsidP="00634CA1">
            <w:pPr>
              <w:pStyle w:val="a3"/>
              <w:spacing w:before="40" w:after="40"/>
              <w:rPr>
                <w:b/>
              </w:rPr>
            </w:pPr>
          </w:p>
        </w:tc>
        <w:tc>
          <w:tcPr>
            <w:tcW w:w="839" w:type="pct"/>
          </w:tcPr>
          <w:p w14:paraId="006825C6" w14:textId="77777777" w:rsidR="00156C9E" w:rsidRPr="00856986" w:rsidRDefault="00156C9E" w:rsidP="00634CA1">
            <w:pPr>
              <w:rPr>
                <w:b/>
                <w:bCs/>
              </w:rPr>
            </w:pPr>
            <w:r w:rsidRPr="00856986">
              <w:rPr>
                <w:b/>
                <w:bCs/>
              </w:rPr>
              <w:t>Decision-making process</w:t>
            </w:r>
          </w:p>
        </w:tc>
        <w:tc>
          <w:tcPr>
            <w:tcW w:w="829" w:type="pct"/>
          </w:tcPr>
          <w:p w14:paraId="367DD221" w14:textId="77777777" w:rsidR="00156C9E" w:rsidRPr="00856986" w:rsidRDefault="00156C9E" w:rsidP="00634CA1">
            <w:pPr>
              <w:rPr>
                <w:b/>
                <w:bCs/>
              </w:rPr>
            </w:pPr>
            <w:r w:rsidRPr="00856986">
              <w:rPr>
                <w:b/>
                <w:bCs/>
              </w:rPr>
              <w:t>Modelling</w:t>
            </w:r>
          </w:p>
        </w:tc>
        <w:tc>
          <w:tcPr>
            <w:tcW w:w="2377" w:type="pct"/>
            <w:vMerge/>
          </w:tcPr>
          <w:p w14:paraId="13F3147C" w14:textId="77777777" w:rsidR="00156C9E" w:rsidRPr="00AA04C9" w:rsidRDefault="00156C9E" w:rsidP="00634CA1">
            <w:pPr>
              <w:pStyle w:val="a3"/>
              <w:spacing w:before="40" w:after="40"/>
              <w:rPr>
                <w:b/>
              </w:rPr>
            </w:pPr>
          </w:p>
        </w:tc>
      </w:tr>
      <w:tr w:rsidR="00156C9E" w:rsidRPr="00AA04C9" w14:paraId="0FF96569" w14:textId="77777777" w:rsidTr="00634CA1">
        <w:tc>
          <w:tcPr>
            <w:tcW w:w="955" w:type="pct"/>
            <w:tcBorders>
              <w:bottom w:val="single" w:sz="4" w:space="0" w:color="auto"/>
            </w:tcBorders>
          </w:tcPr>
          <w:p w14:paraId="252EA977" w14:textId="77777777" w:rsidR="00156C9E" w:rsidRPr="00AA04C9" w:rsidRDefault="00156C9E" w:rsidP="00634CA1">
            <w:r w:rsidRPr="00AA04C9">
              <w:t>M</w:t>
            </w:r>
            <w:r>
              <w:t>CD</w:t>
            </w:r>
            <w:r w:rsidRPr="00AA04C9">
              <w:t>A</w:t>
            </w:r>
          </w:p>
        </w:tc>
        <w:tc>
          <w:tcPr>
            <w:tcW w:w="839" w:type="pct"/>
            <w:tcBorders>
              <w:bottom w:val="single" w:sz="4" w:space="0" w:color="auto"/>
            </w:tcBorders>
          </w:tcPr>
          <w:p w14:paraId="0A28102D" w14:textId="77777777" w:rsidR="00156C9E" w:rsidRPr="00AA04C9" w:rsidRDefault="00156C9E" w:rsidP="00634CA1">
            <w:r w:rsidRPr="00AA04C9">
              <w:t>Yes: committee deliberation</w:t>
            </w:r>
          </w:p>
        </w:tc>
        <w:tc>
          <w:tcPr>
            <w:tcW w:w="829" w:type="pct"/>
            <w:tcBorders>
              <w:bottom w:val="single" w:sz="4" w:space="0" w:color="auto"/>
            </w:tcBorders>
          </w:tcPr>
          <w:p w14:paraId="3E014EF0" w14:textId="77777777" w:rsidR="00156C9E" w:rsidRPr="007F5E6C" w:rsidRDefault="00156C9E" w:rsidP="00634CA1">
            <w:r w:rsidRPr="007F5E6C">
              <w:t>No</w:t>
            </w:r>
          </w:p>
        </w:tc>
        <w:tc>
          <w:tcPr>
            <w:tcW w:w="2377" w:type="pct"/>
          </w:tcPr>
          <w:p w14:paraId="533E16B1" w14:textId="77777777" w:rsidR="00156C9E" w:rsidRPr="007F5E6C" w:rsidRDefault="00156C9E" w:rsidP="00634CA1">
            <w:r w:rsidRPr="007F5E6C">
              <w:t xml:space="preserve">Also referred to as Analytic Hierarchy Process used in Germany. </w:t>
            </w:r>
          </w:p>
        </w:tc>
      </w:tr>
      <w:tr w:rsidR="00156C9E" w:rsidRPr="00AA04C9" w14:paraId="341EBA31" w14:textId="77777777" w:rsidTr="00634CA1">
        <w:tc>
          <w:tcPr>
            <w:tcW w:w="955" w:type="pct"/>
            <w:tcBorders>
              <w:bottom w:val="nil"/>
            </w:tcBorders>
          </w:tcPr>
          <w:p w14:paraId="6DB43034" w14:textId="77777777" w:rsidR="00156C9E" w:rsidRPr="00AA04C9" w:rsidRDefault="00156C9E" w:rsidP="00634CA1">
            <w:r w:rsidRPr="00AA04C9">
              <w:t>Conjoint analysis</w:t>
            </w:r>
          </w:p>
        </w:tc>
        <w:tc>
          <w:tcPr>
            <w:tcW w:w="839" w:type="pct"/>
            <w:tcBorders>
              <w:bottom w:val="nil"/>
            </w:tcBorders>
          </w:tcPr>
          <w:p w14:paraId="34AA2A89" w14:textId="77777777" w:rsidR="00156C9E" w:rsidRPr="00AA04C9" w:rsidRDefault="00156C9E" w:rsidP="00634CA1"/>
        </w:tc>
        <w:tc>
          <w:tcPr>
            <w:tcW w:w="829" w:type="pct"/>
            <w:tcBorders>
              <w:bottom w:val="nil"/>
            </w:tcBorders>
          </w:tcPr>
          <w:p w14:paraId="7F2E961E" w14:textId="77777777" w:rsidR="00156C9E" w:rsidRPr="00AA04C9" w:rsidRDefault="00156C9E" w:rsidP="00634CA1"/>
        </w:tc>
        <w:tc>
          <w:tcPr>
            <w:tcW w:w="2377" w:type="pct"/>
            <w:vMerge w:val="restart"/>
          </w:tcPr>
          <w:p w14:paraId="394200A0" w14:textId="77777777" w:rsidR="00156C9E" w:rsidRPr="00AA04C9" w:rsidRDefault="00156C9E" w:rsidP="00634CA1">
            <w:r w:rsidRPr="00AA04C9">
              <w:t>DCE methods are discussed in the literature w</w:t>
            </w:r>
            <w:r>
              <w:t>ith</w:t>
            </w:r>
            <w:r w:rsidRPr="00AA04C9">
              <w:t xml:space="preserve"> possible applications in HTA. </w:t>
            </w:r>
          </w:p>
        </w:tc>
      </w:tr>
      <w:tr w:rsidR="00156C9E" w:rsidRPr="00AA04C9" w14:paraId="4107ACDB" w14:textId="77777777" w:rsidTr="00634CA1">
        <w:tc>
          <w:tcPr>
            <w:tcW w:w="955" w:type="pct"/>
            <w:tcBorders>
              <w:top w:val="nil"/>
              <w:bottom w:val="nil"/>
            </w:tcBorders>
          </w:tcPr>
          <w:p w14:paraId="19D9A8E5" w14:textId="77777777" w:rsidR="00156C9E" w:rsidRPr="00AA04C9" w:rsidRDefault="00156C9E" w:rsidP="00634CA1">
            <w:pPr>
              <w:ind w:left="311"/>
            </w:pPr>
            <w:r w:rsidRPr="00AA04C9">
              <w:t>DCE</w:t>
            </w:r>
          </w:p>
        </w:tc>
        <w:tc>
          <w:tcPr>
            <w:tcW w:w="839" w:type="pct"/>
            <w:tcBorders>
              <w:top w:val="nil"/>
              <w:bottom w:val="nil"/>
            </w:tcBorders>
          </w:tcPr>
          <w:p w14:paraId="4E310A6B" w14:textId="77777777" w:rsidR="00156C9E" w:rsidRPr="00AA04C9" w:rsidRDefault="00156C9E" w:rsidP="00634CA1">
            <w:r w:rsidRPr="00AA04C9">
              <w:t>Possible</w:t>
            </w:r>
          </w:p>
        </w:tc>
        <w:tc>
          <w:tcPr>
            <w:tcW w:w="829" w:type="pct"/>
            <w:tcBorders>
              <w:top w:val="nil"/>
              <w:bottom w:val="nil"/>
            </w:tcBorders>
          </w:tcPr>
          <w:p w14:paraId="4A6991AC" w14:textId="77777777" w:rsidR="00156C9E" w:rsidRPr="00AA04C9" w:rsidRDefault="00156C9E" w:rsidP="00634CA1">
            <w:r w:rsidRPr="00AA04C9">
              <w:t>Possible</w:t>
            </w:r>
          </w:p>
        </w:tc>
        <w:tc>
          <w:tcPr>
            <w:tcW w:w="2377" w:type="pct"/>
            <w:vMerge/>
          </w:tcPr>
          <w:p w14:paraId="4F06556A" w14:textId="77777777" w:rsidR="00156C9E" w:rsidRPr="00AA04C9" w:rsidRDefault="00156C9E" w:rsidP="00634CA1"/>
        </w:tc>
      </w:tr>
      <w:tr w:rsidR="00156C9E" w:rsidRPr="00AA04C9" w14:paraId="3F241608" w14:textId="77777777" w:rsidTr="00634CA1">
        <w:tc>
          <w:tcPr>
            <w:tcW w:w="955" w:type="pct"/>
            <w:tcBorders>
              <w:top w:val="nil"/>
            </w:tcBorders>
          </w:tcPr>
          <w:p w14:paraId="5E7F363B" w14:textId="77777777" w:rsidR="00156C9E" w:rsidRPr="00AA04C9" w:rsidRDefault="00156C9E" w:rsidP="00634CA1">
            <w:pPr>
              <w:ind w:left="311"/>
            </w:pPr>
            <w:r w:rsidRPr="00AA04C9">
              <w:t>MAUI</w:t>
            </w:r>
          </w:p>
        </w:tc>
        <w:tc>
          <w:tcPr>
            <w:tcW w:w="839" w:type="pct"/>
            <w:tcBorders>
              <w:top w:val="nil"/>
            </w:tcBorders>
          </w:tcPr>
          <w:p w14:paraId="51506C1F" w14:textId="77777777" w:rsidR="00156C9E" w:rsidRPr="00AA04C9" w:rsidRDefault="00156C9E" w:rsidP="00634CA1">
            <w:r w:rsidRPr="00AA04C9">
              <w:t>Possible</w:t>
            </w:r>
          </w:p>
        </w:tc>
        <w:tc>
          <w:tcPr>
            <w:tcW w:w="829" w:type="pct"/>
            <w:tcBorders>
              <w:top w:val="nil"/>
            </w:tcBorders>
          </w:tcPr>
          <w:p w14:paraId="1550B050" w14:textId="77777777" w:rsidR="00156C9E" w:rsidRPr="00AA04C9" w:rsidRDefault="00156C9E" w:rsidP="00634CA1">
            <w:r w:rsidRPr="00AA04C9">
              <w:t>Yes</w:t>
            </w:r>
          </w:p>
        </w:tc>
        <w:tc>
          <w:tcPr>
            <w:tcW w:w="2377" w:type="pct"/>
            <w:vMerge/>
          </w:tcPr>
          <w:p w14:paraId="5388B8BD" w14:textId="77777777" w:rsidR="00156C9E" w:rsidRPr="00AA04C9" w:rsidRDefault="00156C9E" w:rsidP="00634CA1"/>
        </w:tc>
      </w:tr>
      <w:tr w:rsidR="00156C9E" w:rsidRPr="00AA04C9" w14:paraId="017B47B1" w14:textId="77777777" w:rsidTr="00634CA1">
        <w:tc>
          <w:tcPr>
            <w:tcW w:w="955" w:type="pct"/>
          </w:tcPr>
          <w:p w14:paraId="666E15E8" w14:textId="77777777" w:rsidR="00156C9E" w:rsidRPr="00AA04C9" w:rsidRDefault="00156C9E" w:rsidP="00634CA1">
            <w:r w:rsidRPr="00AA04C9">
              <w:t>TTO</w:t>
            </w:r>
          </w:p>
        </w:tc>
        <w:tc>
          <w:tcPr>
            <w:tcW w:w="839" w:type="pct"/>
          </w:tcPr>
          <w:p w14:paraId="284B5FCA" w14:textId="77777777" w:rsidR="00156C9E" w:rsidRPr="00AA04C9" w:rsidRDefault="00156C9E" w:rsidP="00634CA1">
            <w:r w:rsidRPr="00AA04C9">
              <w:t>No</w:t>
            </w:r>
          </w:p>
        </w:tc>
        <w:tc>
          <w:tcPr>
            <w:tcW w:w="829" w:type="pct"/>
          </w:tcPr>
          <w:p w14:paraId="6EA6A18C" w14:textId="77777777" w:rsidR="00156C9E" w:rsidRPr="00AA04C9" w:rsidRDefault="00156C9E" w:rsidP="00634CA1">
            <w:r w:rsidRPr="00AA04C9">
              <w:t>Yes</w:t>
            </w:r>
          </w:p>
        </w:tc>
        <w:tc>
          <w:tcPr>
            <w:tcW w:w="2377" w:type="pct"/>
          </w:tcPr>
          <w:p w14:paraId="0990578C" w14:textId="77777777" w:rsidR="00156C9E" w:rsidRPr="00AA04C9" w:rsidRDefault="00156C9E" w:rsidP="00634CA1">
            <w:r>
              <w:t xml:space="preserve">Utility weights used in modelling </w:t>
            </w:r>
          </w:p>
        </w:tc>
      </w:tr>
      <w:tr w:rsidR="00156C9E" w:rsidRPr="00AA04C9" w14:paraId="00A93E9C" w14:textId="77777777" w:rsidTr="00634CA1">
        <w:tc>
          <w:tcPr>
            <w:tcW w:w="955" w:type="pct"/>
          </w:tcPr>
          <w:p w14:paraId="7179FCC2" w14:textId="77777777" w:rsidR="00156C9E" w:rsidRPr="00AA04C9" w:rsidRDefault="00156C9E" w:rsidP="00634CA1">
            <w:r w:rsidRPr="00AA04C9">
              <w:lastRenderedPageBreak/>
              <w:t>SG</w:t>
            </w:r>
          </w:p>
        </w:tc>
        <w:tc>
          <w:tcPr>
            <w:tcW w:w="839" w:type="pct"/>
          </w:tcPr>
          <w:p w14:paraId="6FE285CD" w14:textId="77777777" w:rsidR="00156C9E" w:rsidRPr="00AA04C9" w:rsidRDefault="00156C9E" w:rsidP="00634CA1">
            <w:r w:rsidRPr="00AA04C9">
              <w:t>No</w:t>
            </w:r>
          </w:p>
        </w:tc>
        <w:tc>
          <w:tcPr>
            <w:tcW w:w="829" w:type="pct"/>
          </w:tcPr>
          <w:p w14:paraId="6034016E" w14:textId="77777777" w:rsidR="00156C9E" w:rsidRPr="00AA04C9" w:rsidRDefault="00156C9E" w:rsidP="00634CA1">
            <w:r w:rsidRPr="00AA04C9">
              <w:t>Yes</w:t>
            </w:r>
          </w:p>
        </w:tc>
        <w:tc>
          <w:tcPr>
            <w:tcW w:w="2377" w:type="pct"/>
          </w:tcPr>
          <w:p w14:paraId="4627D1D2" w14:textId="77777777" w:rsidR="00156C9E" w:rsidRPr="00AA04C9" w:rsidRDefault="00156C9E" w:rsidP="00634CA1">
            <w:r>
              <w:t>Utility weights used in modelling</w:t>
            </w:r>
          </w:p>
        </w:tc>
      </w:tr>
      <w:tr w:rsidR="00156C9E" w:rsidRPr="00AA04C9" w14:paraId="7621009C" w14:textId="77777777" w:rsidTr="00634CA1">
        <w:tc>
          <w:tcPr>
            <w:tcW w:w="955" w:type="pct"/>
          </w:tcPr>
          <w:p w14:paraId="77D38790" w14:textId="77777777" w:rsidR="00156C9E" w:rsidRPr="00AA04C9" w:rsidRDefault="00156C9E" w:rsidP="00634CA1">
            <w:r w:rsidRPr="00AA04C9">
              <w:t>QALY weighting</w:t>
            </w:r>
          </w:p>
        </w:tc>
        <w:tc>
          <w:tcPr>
            <w:tcW w:w="839" w:type="pct"/>
          </w:tcPr>
          <w:p w14:paraId="0904958E" w14:textId="77777777" w:rsidR="00156C9E" w:rsidRPr="00AA04C9" w:rsidRDefault="00156C9E" w:rsidP="00634CA1">
            <w:r w:rsidRPr="00AA04C9">
              <w:t>No</w:t>
            </w:r>
          </w:p>
        </w:tc>
        <w:tc>
          <w:tcPr>
            <w:tcW w:w="829" w:type="pct"/>
          </w:tcPr>
          <w:p w14:paraId="0FEA195E" w14:textId="77777777" w:rsidR="00156C9E" w:rsidRPr="00AA04C9" w:rsidRDefault="00156C9E" w:rsidP="00634CA1">
            <w:r w:rsidRPr="00AA04C9">
              <w:t>Yes</w:t>
            </w:r>
          </w:p>
        </w:tc>
        <w:tc>
          <w:tcPr>
            <w:tcW w:w="2377" w:type="pct"/>
          </w:tcPr>
          <w:p w14:paraId="22DBE824" w14:textId="77777777" w:rsidR="00156C9E" w:rsidRDefault="00156C9E" w:rsidP="00634CA1">
            <w:r>
              <w:t>S</w:t>
            </w:r>
            <w:r w:rsidRPr="00AA04C9">
              <w:t>hortfall method e.g., severity modifier</w:t>
            </w:r>
            <w:r>
              <w:t>. Used by England and Wales (NICE)</w:t>
            </w:r>
            <w:r w:rsidRPr="00AA04C9">
              <w:t>, Norway</w:t>
            </w:r>
            <w:r>
              <w:t xml:space="preserve"> (</w:t>
            </w:r>
            <w:proofErr w:type="spellStart"/>
            <w:r>
              <w:t>NoMA</w:t>
            </w:r>
            <w:proofErr w:type="spellEnd"/>
            <w:r>
              <w:t xml:space="preserve"> and NIPH)</w:t>
            </w:r>
            <w:r w:rsidRPr="00AA04C9">
              <w:t>, The Netherlands</w:t>
            </w:r>
            <w:r>
              <w:t xml:space="preserve"> (ZIN). </w:t>
            </w:r>
          </w:p>
          <w:p w14:paraId="6965815F" w14:textId="77777777" w:rsidR="00156C9E" w:rsidRDefault="00156C9E" w:rsidP="00634CA1">
            <w:r>
              <w:t>Caregiver e.g. Sweden (TLV)</w:t>
            </w:r>
          </w:p>
        </w:tc>
      </w:tr>
      <w:tr w:rsidR="00156C9E" w:rsidRPr="00AA04C9" w14:paraId="2E0933CE" w14:textId="77777777" w:rsidTr="00634CA1">
        <w:tc>
          <w:tcPr>
            <w:tcW w:w="955" w:type="pct"/>
          </w:tcPr>
          <w:p w14:paraId="6B215E79" w14:textId="77777777" w:rsidR="00156C9E" w:rsidRPr="00AA04C9" w:rsidRDefault="00156C9E" w:rsidP="00634CA1">
            <w:r>
              <w:t>Friction cost approach (FCA)</w:t>
            </w:r>
          </w:p>
        </w:tc>
        <w:tc>
          <w:tcPr>
            <w:tcW w:w="839" w:type="pct"/>
          </w:tcPr>
          <w:p w14:paraId="7A324742" w14:textId="77777777" w:rsidR="00156C9E" w:rsidRPr="00AA04C9" w:rsidRDefault="00156C9E" w:rsidP="00634CA1">
            <w:r>
              <w:t>No</w:t>
            </w:r>
          </w:p>
        </w:tc>
        <w:tc>
          <w:tcPr>
            <w:tcW w:w="829" w:type="pct"/>
          </w:tcPr>
          <w:p w14:paraId="75E4A031" w14:textId="77777777" w:rsidR="00156C9E" w:rsidRPr="00AA04C9" w:rsidRDefault="00156C9E" w:rsidP="00634CA1">
            <w:r>
              <w:t>Yes</w:t>
            </w:r>
          </w:p>
        </w:tc>
        <w:tc>
          <w:tcPr>
            <w:tcW w:w="2377" w:type="pct"/>
          </w:tcPr>
          <w:p w14:paraId="5EE26352" w14:textId="77777777" w:rsidR="00156C9E" w:rsidRDefault="00156C9E" w:rsidP="00634CA1">
            <w:r>
              <w:t>Economic evaluation using societal perspective</w:t>
            </w:r>
          </w:p>
        </w:tc>
      </w:tr>
      <w:tr w:rsidR="00156C9E" w:rsidRPr="00AA04C9" w14:paraId="2BFDA89F" w14:textId="77777777" w:rsidTr="00634CA1">
        <w:tc>
          <w:tcPr>
            <w:tcW w:w="955" w:type="pct"/>
          </w:tcPr>
          <w:p w14:paraId="321538B5" w14:textId="77777777" w:rsidR="00156C9E" w:rsidRPr="00AA04C9" w:rsidRDefault="00156C9E" w:rsidP="00634CA1">
            <w:r>
              <w:t>Human capital approach (HCA)</w:t>
            </w:r>
          </w:p>
        </w:tc>
        <w:tc>
          <w:tcPr>
            <w:tcW w:w="839" w:type="pct"/>
          </w:tcPr>
          <w:p w14:paraId="732D4D8B" w14:textId="77777777" w:rsidR="00156C9E" w:rsidRPr="00AA04C9" w:rsidRDefault="00156C9E" w:rsidP="00634CA1">
            <w:r>
              <w:t>No</w:t>
            </w:r>
          </w:p>
        </w:tc>
        <w:tc>
          <w:tcPr>
            <w:tcW w:w="829" w:type="pct"/>
          </w:tcPr>
          <w:p w14:paraId="2C04CCE0" w14:textId="77777777" w:rsidR="00156C9E" w:rsidRPr="00AA04C9" w:rsidRDefault="00156C9E" w:rsidP="00634CA1">
            <w:r>
              <w:t>Yes</w:t>
            </w:r>
          </w:p>
        </w:tc>
        <w:tc>
          <w:tcPr>
            <w:tcW w:w="2377" w:type="pct"/>
          </w:tcPr>
          <w:p w14:paraId="4F347F1F" w14:textId="77777777" w:rsidR="00156C9E" w:rsidRDefault="00156C9E" w:rsidP="00634CA1">
            <w:r>
              <w:t>Economic evaluation using societal perspective</w:t>
            </w:r>
          </w:p>
        </w:tc>
      </w:tr>
    </w:tbl>
    <w:p w14:paraId="29D671FB" w14:textId="77938236" w:rsidR="00FF745D" w:rsidRPr="00F46EF2" w:rsidRDefault="00000000" w:rsidP="00F46EF2">
      <w:pPr>
        <w:snapToGrid w:val="0"/>
        <w:spacing w:line="240" w:lineRule="atLeast"/>
        <w:rPr>
          <w:rFonts w:ascii="Times New Roman" w:eastAsia="ＭＳ Ｐ明朝" w:hAnsi="Times New Roman" w:cs="Times New Roman"/>
        </w:rPr>
      </w:pPr>
      <w:r w:rsidRPr="00F46EF2">
        <w:rPr>
          <w:rFonts w:ascii="Times New Roman" w:eastAsia="ＭＳ Ｐ明朝" w:hAnsi="Times New Roman" w:cs="Times New Roman"/>
        </w:rPr>
        <w:t>DCE = Discrete Choice Experiment; FCA = Friction Cost Approach; HCA = Human Capital Approach; HTA = Health Technology Assessment; MAUI = multi-attribute utility instruments; MCDA = multicriteria decision analysis; NICE = National Institute for Health and Care Excellence (England and Wales)</w:t>
      </w:r>
      <w:r w:rsidRPr="00F46EF2">
        <w:rPr>
          <w:rFonts w:ascii="Times New Roman" w:eastAsia="ＭＳ Ｐ明朝" w:hAnsi="Times New Roman" w:cs="Times New Roman"/>
        </w:rPr>
        <w:t>；</w:t>
      </w:r>
      <w:r w:rsidRPr="00F46EF2">
        <w:rPr>
          <w:rFonts w:ascii="Times New Roman" w:eastAsia="ＭＳ Ｐ明朝" w:hAnsi="Times New Roman" w:cs="Times New Roman"/>
        </w:rPr>
        <w:t>NIPH = Norwegian Institute of Public Health; NoMA = Norwegian Medicines Agency; QALY = quality adjusted life year; SG = Standard Gamble; TLV = Dental and Pharmaceutical Benefits Agency (Sweden); TTO = time trade-off; ZIN = Zorginstituut Nederland (National Health Care Institute, Netherlands</w:t>
      </w:r>
    </w:p>
    <w:p w14:paraId="22DF7EEE" w14:textId="2E18B84B"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経済評価の枠組みで</w:t>
      </w:r>
      <w:r w:rsidR="00693A46" w:rsidRPr="00F46EF2">
        <w:rPr>
          <w:rFonts w:ascii="Times New Roman" w:eastAsia="ＭＳ Ｐ明朝" w:hAnsi="Times New Roman"/>
          <w:sz w:val="20"/>
          <w:szCs w:val="21"/>
          <w:lang w:eastAsia="ja-JP"/>
        </w:rPr>
        <w:t>最も広く用いられている</w:t>
      </w:r>
      <w:r w:rsidRPr="00F46EF2">
        <w:rPr>
          <w:rFonts w:ascii="Times New Roman" w:eastAsia="ＭＳ Ｐ明朝" w:hAnsi="Times New Roman"/>
          <w:sz w:val="20"/>
          <w:szCs w:val="21"/>
          <w:lang w:eastAsia="ja-JP"/>
        </w:rPr>
        <w:t>のは、</w:t>
      </w:r>
      <w:r w:rsidR="00693A46" w:rsidRPr="00F46EF2">
        <w:rPr>
          <w:rFonts w:ascii="Times New Roman" w:eastAsia="ＭＳ Ｐ明朝" w:hAnsi="Times New Roman"/>
          <w:sz w:val="20"/>
          <w:szCs w:val="21"/>
          <w:lang w:eastAsia="ja-JP"/>
        </w:rPr>
        <w:t>質調整生存年</w:t>
      </w:r>
      <w:r w:rsidR="00DC2031" w:rsidRPr="00F46EF2">
        <w:rPr>
          <w:rFonts w:ascii="Times New Roman" w:eastAsia="ＭＳ Ｐ明朝" w:hAnsi="Times New Roman"/>
          <w:sz w:val="20"/>
          <w:szCs w:val="21"/>
          <w:lang w:eastAsia="ja-JP"/>
        </w:rPr>
        <w:t>（</w:t>
      </w:r>
      <w:r w:rsidR="00693A46" w:rsidRPr="00F46EF2">
        <w:rPr>
          <w:rFonts w:ascii="Times New Roman" w:eastAsia="ＭＳ Ｐ明朝" w:hAnsi="Times New Roman"/>
          <w:sz w:val="20"/>
          <w:szCs w:val="21"/>
          <w:lang w:eastAsia="ja-JP"/>
        </w:rPr>
        <w:t>QOL</w:t>
      </w:r>
      <w:r w:rsidRPr="00F46EF2">
        <w:rPr>
          <w:rFonts w:ascii="Times New Roman" w:eastAsia="ＭＳ Ｐ明朝" w:hAnsi="Times New Roman"/>
          <w:sz w:val="20"/>
          <w:szCs w:val="21"/>
          <w:lang w:eastAsia="ja-JP"/>
        </w:rPr>
        <w:t>）を用いて健康利益を評価する方法である</w:t>
      </w:r>
      <w:r w:rsidR="00693A46"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このアプローチは、特定の個人集団の健康利益を他の集団よりも優先する可能性のある社会的選好を無視し、それによって衡平性の考慮を見落としているという批判がある</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&lt;EndNote&gt;&lt;Cite&gt;&lt;Author&gt;Cookson&lt;/Author&gt;&lt;Year&gt;2009&lt;/Year&gt;&lt;RecNum&gt;1&lt;/RecNum&gt;&lt;DisplayText&gt;[22]&lt;/DisplayText&gt;&lt;record&gt;&lt;rec-number&gt;1&lt;/rec-number&gt;&lt;foreign-keys&gt;&lt;key app="EN" db-id="z25xddsz659sshedpdu5pda3dswx20f99sf9" timestamp="1692001879"&gt;1&lt;/key&gt;&lt;/foreign-keys&gt;&lt;ref-type name="Journal Article"&gt;17&lt;/ref-type&gt;&lt;contributors&gt;&lt;authors&gt;&lt;author&gt;Cookson, Richard&lt;/author&gt;&lt;author&gt;Drummond, Mike&lt;/author&gt;&lt;author&gt;Weatherly, Helen&lt;/author&gt;&lt;/authors&gt;&lt;/contributors&gt;&lt;titles&gt;&lt;title&gt;Explicit incorporation of equity considerations into economic evaluation of public health interventions&lt;/title&gt;&lt;secondary-title&gt;Health Economics, Policy and Law&lt;/secondary-title&gt;&lt;/titles&gt;&lt;periodical&gt;&lt;full-title&gt;Health Economics, Policy and Law&lt;/full-title&gt;&lt;/periodical&gt;&lt;pages&gt;231-245&lt;/pages&gt;&lt;volume&gt;4&lt;/volume&gt;&lt;number&gt;2&lt;/number&gt;&lt;edition&gt;2009/04/01&lt;/edition&gt;&lt;dates&gt;&lt;year&gt;2009&lt;/year&gt;&lt;/dates&gt;&lt;publisher&gt;Cambridge University Press&lt;/publisher&gt;&lt;isbn&gt;1744-1331&lt;/isbn&gt;&lt;urls&gt;&lt;related-urls&gt;&lt;url&gt;https://www.cambridge.org/core/article/explicit-incorporation-of-equity-considerations-into-economic-evaluation-of-public-health-interventions/DC9CF6213175E67FC3EAE888888367C7&lt;/url&gt;&lt;/related-urls&gt;&lt;/urls&gt;&lt;electronic-resource-num&gt;10.1017/S1744133109004903&lt;/electronic-resource-num&gt;&lt;remote-database-name&gt;Cambridge Core&lt;/remote-database-name&gt;&lt;remote-database-provider&gt;Cambridge University Press&lt;/remote-database-provider&gt;&lt;/record&gt;&lt;/Cite&gt;&lt;/EndNote&gt;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[22]</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 ExcludeYear="1"&gt;&lt;Author&gt;Culyer&lt;/Author&gt;&lt;Year&gt;1992&lt;/Year&gt;&lt;RecNum&gt;2&lt;/RecNum&gt;&lt;DisplayText&gt;[23]&lt;/DisplayText&gt;&lt;record&gt;&lt;rec-number&gt;2&lt;/rec-number&gt;&lt;foreign-keys&gt;&lt;key app="EN" db-id="z25xddsz659sshedpdu5pda3dswx20f99sf9" timestamp="1692001879"&gt;2&lt;/key&gt;&lt;/foreign-keys&gt;&lt;ref-type name="Journal Article"&gt;17&lt;/ref-type&gt;&lt;contributors&gt;&lt;authors&gt;&lt;author&gt;Culyer, A. J.&lt;/author&gt;&lt;/authors&gt;&lt;/contributors&gt;&lt;auth-address&gt;Department of Economics and Related Studies, University of York, England.&lt;/auth-address&gt;&lt;titles&gt;&lt;title&gt;The morality of efficiency in health care--some uncomfortable implications&lt;/title&gt;&lt;secondary-title&gt;Health Econ&lt;/secondary-title&gt;&lt;/titles&gt;&lt;periodical&gt;&lt;full-title&gt;Health Econ&lt;/full-title&gt;&lt;/periodical&gt;&lt;pages&gt;7-18&lt;/pages&gt;&lt;volume&gt;1&lt;/volume&gt;&lt;number&gt;1&lt;/number&gt;&lt;keywords&gt;&lt;keyword&gt;Canada&lt;/keyword&gt;&lt;keyword&gt;Cost-Benefit Analysis&lt;/keyword&gt;&lt;keyword&gt;*Efficiency, Organizational&lt;/keyword&gt;&lt;keyword&gt;*Ethics, Medical&lt;/keyword&gt;&lt;keyword&gt;Health Care Costs&lt;/keyword&gt;&lt;keyword&gt;Health Care Rationing/economics/*standards&lt;/keyword&gt;&lt;keyword&gt;Health Services Accessibility/economics/organization &amp;amp; administration/*standards&lt;/keyword&gt;&lt;keyword&gt;Health Services Needs and Demand&lt;/keyword&gt;&lt;keyword&gt;Humans&lt;/keyword&gt;&lt;keyword&gt;Income&lt;/keyword&gt;&lt;keyword&gt;Outcome Assessment, Health Care&lt;/keyword&gt;&lt;keyword&gt;Physician-Patient Relations&lt;/keyword&gt;&lt;keyword&gt;Poverty&lt;/keyword&gt;&lt;keyword&gt;Quality of Life&lt;/keyword&gt;&lt;keyword&gt;United Kingdom&lt;/keyword&gt;&lt;keyword&gt;United States&lt;/keyword&gt;&lt;keyword&gt;*Value of Life&lt;/keyword&gt;&lt;/keywords&gt;&lt;dates&gt;&lt;year&gt;1992&lt;/year&gt;&lt;pub-dates&gt;&lt;date&gt;Apr&lt;/date&gt;&lt;/pub-dates&gt;&lt;/dates&gt;&lt;isbn&gt;1057-9230 (Print)&amp;#xD;1057-9230 (Linking)&lt;/isbn&gt;&lt;accession-num&gt;1342632&lt;/accession-num&gt;&lt;urls&gt;&lt;related-urls&gt;&lt;url&gt;https://www.ncbi.nlm.nih.gov/pubmed/1342632&lt;/url&gt;&lt;/related-urls&gt;&lt;/urls&gt;&lt;electronic-resource-num&gt;10.1002/hec.4730010105&lt;/electronic-resource-num&gt;&lt;remote-database-name&gt;Medline&lt;/remote-database-name&gt;&lt;remote-database-provider&gt;NLM&lt;/remote-database-provider&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[23]</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この議論を受けて、衡平性と効率性のトレードオフを運用するための様々なアプローチが提案されている</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&lt;EndNote&gt;&lt;Cite&gt;&lt;Author&gt;Cookson&lt;/Author&gt;&lt;Year&gt;2009&lt;/Year&gt;&lt;RecNum&gt;1&lt;/RecNum&gt;&lt;DisplayText&gt;[22]&lt;/DisplayText&gt;&lt;record&gt;&lt;rec-number&gt;1&lt;/rec-number&gt;&lt;foreign-keys&gt;&lt;key app="EN" db-id="z25xddsz659sshedpdu5pda3dswx20f99sf9" timestamp="1692001879"&gt;1&lt;/key&gt;&lt;/foreign-keys&gt;&lt;ref-type name="Journal Article"&gt;17&lt;/ref-type&gt;&lt;contributors&gt;&lt;authors&gt;&lt;author&gt;Cookson, Richard&lt;/author&gt;&lt;author&gt;Drummond, Mike&lt;/author&gt;&lt;author&gt;Weatherly, Helen&lt;/author&gt;&lt;/authors&gt;&lt;/contributors&gt;&lt;titles&gt;&lt;title&gt;Explicit incorporation of equity considerations into economic evaluation of public health interventions&lt;/title&gt;&lt;secondary-title&gt;Health Economics, Policy and Law&lt;/secondary-title&gt;&lt;/titles&gt;&lt;periodical&gt;&lt;full-title&gt;Health Economics, Policy and Law&lt;/full-title&gt;&lt;/periodical&gt;&lt;pages&gt;231-245&lt;/pages&gt;&lt;volume&gt;4&lt;/volume&gt;&lt;number&gt;2&lt;/number&gt;&lt;edition&gt;2009/04/01&lt;/edition&gt;&lt;dates&gt;&lt;year&gt;2009&lt;/year&gt;&lt;/dates&gt;&lt;publisher&gt;Cambridge University Press&lt;/publisher&gt;&lt;isbn&gt;1744-1331&lt;/isbn&gt;&lt;urls&gt;&lt;related-urls&gt;&lt;url&gt;https://www.cambridge.org/core/article/explicit-incorporation-of-equity-considerations-into-economic-evaluation-of-public-health-interventions/DC9CF6213175E67FC3EAE888888367C7&lt;/url&gt;&lt;/related-urls&gt;&lt;/urls&gt;&lt;electronic-resource-num&gt;10.1017/S1744133109004903&lt;/electronic-resource-num&gt;&lt;remote-database-name&gt;Cambridge Core&lt;/remote-database-name&gt;&lt;remote-database-provider&gt;Cambridge University Press&lt;/remote-database-provider&gt;&lt;/record&gt;&lt;/Cite&gt;&lt;/EndNote&gt;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[22]</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fldChar w:fldCharType="begin">
          <w:fldData xml:space="preserve">PEVuZE5vdGU+PENpdGU+PEF1dGhvcj5SZWNrZXJzLURyb29nPC9BdXRob3I+PFllYXI+MjAxODwv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PEVuZE5vdGU+PENpdGU+PEF1dGhvcj5SZWNrZXJzLURyb29nPC9BdXRob3I+PFllYXI+MjAxODwv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[24]</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現在、</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機関が使用している価値評価の枠組みは、暗黙的及び／又は明示的に社会的価値の様々な側面を考慮している</w:t>
      </w:r>
      <w:r w:rsidR="001325BB" w:rsidRPr="00F46EF2">
        <w:rPr>
          <w:rFonts w:ascii="Times New Roman" w:eastAsia="ＭＳ Ｐ明朝" w:hAnsi="Times New Roman"/>
          <w:sz w:val="20"/>
          <w:szCs w:val="21"/>
          <w:lang w:eastAsia="ja-JP"/>
        </w:rPr>
        <w:t>（第</w:t>
      </w:r>
      <w:r w:rsidR="001325BB" w:rsidRPr="00F46EF2">
        <w:rPr>
          <w:rFonts w:ascii="Times New Roman" w:eastAsia="ＭＳ Ｐ明朝" w:hAnsi="Times New Roman"/>
          <w:sz w:val="20"/>
          <w:szCs w:val="21"/>
          <w:lang w:eastAsia="ja-JP"/>
        </w:rPr>
        <w:t>1</w:t>
      </w:r>
      <w:r w:rsidR="001325BB" w:rsidRPr="00F46EF2">
        <w:rPr>
          <w:rFonts w:ascii="Times New Roman" w:eastAsia="ＭＳ Ｐ明朝" w:hAnsi="Times New Roman"/>
          <w:sz w:val="20"/>
          <w:szCs w:val="21"/>
          <w:lang w:eastAsia="ja-JP"/>
        </w:rPr>
        <w:t>部参照）。</w:t>
      </w:r>
      <w:r w:rsidR="001325BB" w:rsidRPr="00F46EF2">
        <w:rPr>
          <w:rFonts w:ascii="Times New Roman" w:eastAsia="ＭＳ Ｐ明朝" w:hAnsi="Times New Roman"/>
          <w:sz w:val="20"/>
          <w:szCs w:val="21"/>
          <w:lang w:eastAsia="ja-JP"/>
        </w:rPr>
        <w:t xml:space="preserve"> </w:t>
      </w:r>
      <w:r w:rsidR="001325BB" w:rsidRPr="00F46EF2">
        <w:rPr>
          <w:rFonts w:ascii="Times New Roman" w:eastAsia="ＭＳ Ｐ明朝" w:hAnsi="Times New Roman"/>
          <w:sz w:val="20"/>
          <w:szCs w:val="21"/>
        </w:rPr>
        <w:fldChar w:fldCharType="begin"/>
      </w:r>
      <w:r w:rsidR="001325BB" w:rsidRPr="00F46EF2">
        <w:rPr>
          <w:rFonts w:ascii="Times New Roman" w:eastAsia="ＭＳ Ｐ明朝" w:hAnsi="Times New Roman"/>
          <w:sz w:val="20"/>
          <w:szCs w:val="21"/>
          <w:lang w:eastAsia="ja-JP"/>
        </w:rPr>
        <w:instrText xml:space="preserve"> REF _Ref146369092 \h </w:instrText>
      </w:r>
      <w:r w:rsidR="001325BB" w:rsidRPr="00F46EF2">
        <w:rPr>
          <w:rFonts w:ascii="Times New Roman" w:eastAsia="ＭＳ Ｐ明朝" w:hAnsi="Times New Roman"/>
          <w:sz w:val="20"/>
          <w:szCs w:val="21"/>
        </w:rPr>
      </w:r>
      <w:r w:rsidR="00F46EF2" w:rsidRPr="00F46EF2">
        <w:rPr>
          <w:rFonts w:ascii="Times New Roman" w:eastAsia="ＭＳ Ｐ明朝" w:hAnsi="Times New Roman"/>
          <w:sz w:val="20"/>
          <w:szCs w:val="21"/>
          <w:lang w:eastAsia="ja-JP"/>
        </w:rPr>
        <w:instrText xml:space="preserve"> \* MERGEFORMAT </w:instrText>
      </w:r>
      <w:r w:rsidR="001325BB"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W</w:t>
      </w:r>
      <w:r w:rsidR="00356B5C" w:rsidRPr="00F46EF2">
        <w:rPr>
          <w:rFonts w:ascii="Times New Roman" w:eastAsia="ＭＳ Ｐ明朝" w:hAnsi="Times New Roman"/>
          <w:sz w:val="20"/>
          <w:szCs w:val="21"/>
          <w:lang w:eastAsia="ja-JP"/>
        </w:rPr>
        <w:t>重み付け健康アウトカムとリスク・有害性の</w:t>
      </w:r>
      <w:r w:rsidR="001325BB"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価値とは、患者にとっての技術の治療上の有益性と、より広範な社会的影響の両方と定義されている。</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&lt;EndNote&gt;&lt;Cite&gt;&lt;Author&gt;Baltussen&lt;/Author&gt;&lt;Year&gt;2019&lt;/Year&gt;&lt;RecNum&gt;120&lt;/RecNum&gt;&lt;DisplayText&gt;[25]&lt;/DisplayText&gt;&lt;record&gt;&lt;rec-number&gt;120&lt;/rec-number&gt;&lt;foreign-keys&gt;&lt;key app="EN" db-id="z25xddsz659sshedpdu5pda3dswx20f99sf9" timestamp="1692002023"&gt;120&lt;/key&gt;&lt;/foreign-keys&gt;&lt;ref-type name="Journal Article"&gt;17&lt;/ref-type&gt;&lt;contributors&gt;&lt;authors&gt;&lt;author&gt;Baltussen, Rob&lt;/author&gt;&lt;author&gt;Marsh, Kevin&lt;/author&gt;&lt;author&gt;Thokala, Praveen&lt;/author&gt;&lt;author&gt;Diaby, Vakaramoko&lt;/author&gt;&lt;author&gt;Castro, Hector&lt;/author&gt;&lt;author&gt;Cleemput, Irina&lt;/author&gt;&lt;author&gt;Garau, Martina&lt;/author&gt;&lt;author&gt;Iskrov, Georgi&lt;/author&gt;&lt;author&gt;Olyaeemanesh, Alireza&lt;/author&gt;&lt;author&gt;Mirelman, Andrew&lt;/author&gt;&lt;author&gt;Mobinizadeh, Mohammedreza&lt;/author&gt;&lt;author&gt;Morton, Alec&lt;/author&gt;&lt;author&gt;Tringali, Michele&lt;/author&gt;&lt;author&gt;van Til, Janine&lt;/author&gt;&lt;author&gt;Valentim, Joice&lt;/author&gt;&lt;author&gt;Wagner, Monika&lt;/author&gt;&lt;author&gt;Youngkong, Sitaporn&lt;/author&gt;&lt;author&gt;Zah, Vladimir&lt;/author&gt;&lt;author&gt;Toll, Agnes&lt;/author&gt;&lt;author&gt;Jansen, Maarten&lt;/author&gt;&lt;author&gt;Bijlmakers, Leon&lt;/author&gt;&lt;author&gt;Oortwijn, Wija&lt;/author&gt;&lt;author&gt;Broekhuizen, Henk&lt;/author&gt;&lt;/authors&gt;&lt;/contributors&gt;&lt;titles&gt;&lt;title&gt;Multicriteria Decision Analysis to Support Health Technology Assessment Agencies: Benefits, Limitations, and the Way Forward&lt;/title&gt;&lt;secondary-title&gt;Value in Health&lt;/secondary-title&gt;&lt;/titles&gt;&lt;periodical&gt;&lt;full-title&gt;Value in health&lt;/full-title&gt;&lt;/periodical&gt;&lt;pages&gt;1283-1288&lt;/pages&gt;&lt;volume&gt;22&lt;/volume&gt;&lt;number&gt;11&lt;/number&gt;&lt;keywords&gt;&lt;keyword&gt;HTA agencies&lt;/keyword&gt;&lt;keyword&gt;multicriteria decision analysis&lt;/keyword&gt;&lt;keyword&gt;priority setting&lt;/keyword&gt;&lt;keyword&gt;value framework&lt;/keyword&gt;&lt;/keywords&gt;&lt;dates&gt;&lt;year&gt;2019&lt;/year&gt;&lt;pub-dates&gt;&lt;date&gt;2019/11/01/&lt;/date&gt;&lt;/pub-dates&gt;&lt;/dates&gt;&lt;isbn&gt;1098-3015&lt;/isbn&gt;&lt;urls&gt;&lt;related-urls&gt;&lt;url&gt;https://www.sciencedirect.com/science/article/pii/S1098301519323587&lt;/url&gt;&lt;/related-urls&gt;&lt;/urls&gt;&lt;electronic-resource-num&gt;https://doi.org/10.1016/j.jval.2019.06.014&lt;/electronic-resource-num&gt;&lt;research-notes&gt;Q1.1.3; MCDA&lt;/research-notes&gt;&lt;/record&gt;&lt;/Cite&gt;&lt;/EndNote&gt;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[25]</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 xml:space="preserve">. </w:t>
      </w:r>
    </w:p>
    <w:p w14:paraId="5D29891A" w14:textId="77777777" w:rsidR="00156C9E" w:rsidRPr="00F46EF2" w:rsidRDefault="00156C9E">
      <w:pPr>
        <w:pStyle w:val="a3"/>
        <w:rPr>
          <w:rFonts w:ascii="Times New Roman" w:eastAsia="ＭＳ Ｐ明朝" w:hAnsi="Times New Roman"/>
          <w:sz w:val="20"/>
          <w:szCs w:val="21"/>
          <w:lang w:eastAsia="ja-JP"/>
        </w:rPr>
      </w:pPr>
    </w:p>
    <w:p w14:paraId="731534A5" w14:textId="2B21828A" w:rsidR="00FF745D" w:rsidRPr="00F46EF2" w:rsidRDefault="00156C9E">
      <w:pPr>
        <w:pStyle w:val="NbrHeading4"/>
        <w:rPr>
          <w:rFonts w:ascii="Times New Roman" w:eastAsia="ＭＳ Ｐ明朝" w:hAnsi="Times New Roman"/>
          <w:sz w:val="20"/>
          <w:szCs w:val="21"/>
        </w:rPr>
      </w:pPr>
      <w:r>
        <w:rPr>
          <w:rFonts w:ascii="Times New Roman" w:eastAsia="ＭＳ Ｐ明朝" w:hAnsi="Times New Roman" w:hint="eastAsia"/>
          <w:sz w:val="20"/>
          <w:szCs w:val="21"/>
          <w:lang w:eastAsia="ja-JP"/>
        </w:rPr>
        <w:t>重みづけ</w:t>
      </w:r>
    </w:p>
    <w:p w14:paraId="0F918306"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健康アウトカムやリスク・弊害に重み付けをする方法としては、多基準決定分析（</w:t>
      </w:r>
      <w:r w:rsidRPr="00F46EF2">
        <w:rPr>
          <w:rFonts w:ascii="Times New Roman" w:eastAsia="ＭＳ Ｐ明朝" w:hAnsi="Times New Roman"/>
          <w:sz w:val="20"/>
          <w:szCs w:val="21"/>
          <w:lang w:eastAsia="ja-JP"/>
        </w:rPr>
        <w:t>MCDA</w:t>
      </w:r>
      <w:r w:rsidRPr="00F46EF2">
        <w:rPr>
          <w:rFonts w:ascii="Times New Roman" w:eastAsia="ＭＳ Ｐ明朝" w:hAnsi="Times New Roman"/>
          <w:sz w:val="20"/>
          <w:szCs w:val="21"/>
          <w:lang w:eastAsia="ja-JP"/>
        </w:rPr>
        <w:t>）、コンジョイント分析や離散選択実験（</w:t>
      </w:r>
      <w:r w:rsidRPr="00F46EF2">
        <w:rPr>
          <w:rFonts w:ascii="Times New Roman" w:eastAsia="ＭＳ Ｐ明朝" w:hAnsi="Times New Roman"/>
          <w:sz w:val="20"/>
          <w:szCs w:val="21"/>
          <w:lang w:eastAsia="ja-JP"/>
        </w:rPr>
        <w:t>DCE</w:t>
      </w:r>
      <w:r w:rsidRPr="00F46EF2">
        <w:rPr>
          <w:rFonts w:ascii="Times New Roman" w:eastAsia="ＭＳ Ｐ明朝" w:hAnsi="Times New Roman"/>
          <w:sz w:val="20"/>
          <w:szCs w:val="21"/>
          <w:lang w:eastAsia="ja-JP"/>
        </w:rPr>
        <w:t>）を含む陳述選好法などがある。これらの方法では、</w:t>
      </w:r>
      <w:r w:rsidR="005D7D49" w:rsidRPr="00F46EF2">
        <w:rPr>
          <w:rFonts w:ascii="Times New Roman" w:eastAsia="ＭＳ Ｐ明朝" w:hAnsi="Times New Roman"/>
          <w:sz w:val="20"/>
          <w:szCs w:val="21"/>
          <w:lang w:eastAsia="ja-JP"/>
        </w:rPr>
        <w:t>社会的影響や資源配分における</w:t>
      </w:r>
      <w:r w:rsidRPr="00F46EF2">
        <w:rPr>
          <w:rFonts w:ascii="Times New Roman" w:eastAsia="ＭＳ Ｐ明朝" w:hAnsi="Times New Roman"/>
          <w:sz w:val="20"/>
          <w:szCs w:val="21"/>
          <w:lang w:eastAsia="ja-JP"/>
        </w:rPr>
        <w:t>重要性を反映するために、異なる健康アウトカムや医療サービスに相対的な重みを割り当てることができる。</w:t>
      </w:r>
    </w:p>
    <w:p w14:paraId="5C5C3201" w14:textId="3F99B1A3"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ガイドラインやウェブサイトで議論されているアウトカムの重み付けの方法とプロセスは、参照された</w:t>
      </w:r>
      <w:r w:rsidR="0064555B" w:rsidRPr="00F46EF2">
        <w:rPr>
          <w:rFonts w:ascii="Times New Roman" w:eastAsia="ＭＳ Ｐ明朝" w:hAnsi="Times New Roman"/>
          <w:sz w:val="20"/>
          <w:szCs w:val="21"/>
          <w:lang w:eastAsia="ja-JP"/>
        </w:rPr>
        <w:t>法域を超えて</w:t>
      </w:r>
      <w:r w:rsidR="008C54AB" w:rsidRPr="00F46EF2">
        <w:rPr>
          <w:rFonts w:ascii="Times New Roman" w:eastAsia="ＭＳ Ｐ明朝" w:hAnsi="Times New Roman"/>
          <w:sz w:val="20"/>
          <w:szCs w:val="21"/>
          <w:lang w:eastAsia="ja-JP"/>
        </w:rPr>
        <w:t>、以下のように</w:t>
      </w:r>
      <w:r w:rsidRPr="00F46EF2">
        <w:rPr>
          <w:rFonts w:ascii="Times New Roman" w:eastAsia="ＭＳ Ｐ明朝" w:hAnsi="Times New Roman"/>
          <w:sz w:val="20"/>
          <w:szCs w:val="21"/>
          <w:lang w:eastAsia="ja-JP"/>
        </w:rPr>
        <w:t>示されている。</w:t>
      </w:r>
      <w:r w:rsidRPr="00F46EF2">
        <w:rPr>
          <w:rFonts w:ascii="Times New Roman" w:eastAsia="ＭＳ Ｐ明朝" w:hAnsi="Times New Roman"/>
          <w:sz w:val="20"/>
          <w:szCs w:val="21"/>
          <w:lang w:eastAsia="ja-JP"/>
        </w:rPr>
        <w:t>.</w:t>
      </w:r>
    </w:p>
    <w:p w14:paraId="5DAA2632" w14:textId="77777777" w:rsidR="00156C9E" w:rsidRDefault="00156C9E" w:rsidP="00156C9E">
      <w:pPr>
        <w:pStyle w:val="af8"/>
      </w:pPr>
      <w:bookmarkStart w:id="14" w:name="_Ref146371280"/>
      <w:r w:rsidRPr="00693D5C">
        <w:t xml:space="preserve">Table </w:t>
      </w:r>
      <w:r>
        <w:fldChar w:fldCharType="begin"/>
      </w:r>
      <w:r>
        <w:instrText xml:space="preserve"> SEQ Table \* ARABIC </w:instrText>
      </w:r>
      <w:r>
        <w:fldChar w:fldCharType="separate"/>
      </w:r>
      <w:r>
        <w:rPr>
          <w:noProof/>
        </w:rPr>
        <w:t>3</w:t>
      </w:r>
      <w:r>
        <w:rPr>
          <w:noProof/>
        </w:rPr>
        <w:fldChar w:fldCharType="end"/>
      </w:r>
      <w:bookmarkEnd w:id="14"/>
      <w:r w:rsidRPr="00693D5C">
        <w:tab/>
        <w:t>Consideration of weight</w:t>
      </w:r>
      <w:r>
        <w:t>ing of decision factors</w:t>
      </w:r>
      <w:r w:rsidRPr="00693D5C">
        <w:t xml:space="preserve"> across </w:t>
      </w:r>
      <w:r>
        <w:t xml:space="preserve">jurisdictions </w:t>
      </w:r>
      <w:r w:rsidRPr="00693D5C">
        <w:t>and HTA agencies</w:t>
      </w:r>
    </w:p>
    <w:tbl>
      <w:tblPr>
        <w:tblStyle w:val="af2"/>
        <w:tblW w:w="5000" w:type="pct"/>
        <w:tblLayout w:type="fixed"/>
        <w:tblLook w:val="04A0" w:firstRow="1" w:lastRow="0" w:firstColumn="1" w:lastColumn="0" w:noHBand="0" w:noVBand="1"/>
        <w:tblCaption w:val="Consideration  of weighting of decision factorsed scales across countries and HTA agencies "/>
      </w:tblPr>
      <w:tblGrid>
        <w:gridCol w:w="1356"/>
        <w:gridCol w:w="1210"/>
        <w:gridCol w:w="2872"/>
        <w:gridCol w:w="3622"/>
      </w:tblGrid>
      <w:tr w:rsidR="00156C9E" w:rsidRPr="007F51FB" w14:paraId="4734B569" w14:textId="77777777" w:rsidTr="00634CA1">
        <w:trPr>
          <w:trHeight w:val="300"/>
          <w:tblHeader/>
        </w:trPr>
        <w:tc>
          <w:tcPr>
            <w:tcW w:w="748" w:type="pct"/>
            <w:noWrap/>
            <w:hideMark/>
          </w:tcPr>
          <w:p w14:paraId="638829AC" w14:textId="77777777" w:rsidR="00156C9E" w:rsidRPr="007F51FB" w:rsidRDefault="00156C9E" w:rsidP="00634CA1">
            <w:pPr>
              <w:rPr>
                <w:b/>
                <w:bCs/>
              </w:rPr>
            </w:pPr>
            <w:r>
              <w:rPr>
                <w:b/>
                <w:bCs/>
              </w:rPr>
              <w:t>Jurisdiction (HTA agency)</w:t>
            </w:r>
          </w:p>
        </w:tc>
        <w:tc>
          <w:tcPr>
            <w:tcW w:w="668" w:type="pct"/>
            <w:noWrap/>
            <w:hideMark/>
          </w:tcPr>
          <w:p w14:paraId="79B39FB2" w14:textId="77777777" w:rsidR="00156C9E" w:rsidRPr="007F51FB" w:rsidRDefault="00156C9E" w:rsidP="00634CA1">
            <w:pPr>
              <w:rPr>
                <w:b/>
                <w:bCs/>
              </w:rPr>
            </w:pPr>
            <w:r w:rsidRPr="007F51FB">
              <w:rPr>
                <w:b/>
                <w:bCs/>
              </w:rPr>
              <w:t>Mentioned in the guideline</w:t>
            </w:r>
          </w:p>
        </w:tc>
        <w:tc>
          <w:tcPr>
            <w:tcW w:w="1585" w:type="pct"/>
            <w:noWrap/>
            <w:hideMark/>
          </w:tcPr>
          <w:p w14:paraId="7B02654C" w14:textId="77777777" w:rsidR="00156C9E" w:rsidRPr="007F51FB" w:rsidRDefault="00156C9E" w:rsidP="00634CA1">
            <w:pPr>
              <w:rPr>
                <w:b/>
                <w:bCs/>
              </w:rPr>
            </w:pPr>
            <w:r w:rsidRPr="007F51FB">
              <w:rPr>
                <w:b/>
                <w:bCs/>
              </w:rPr>
              <w:t xml:space="preserve">Method used for </w:t>
            </w:r>
            <w:r w:rsidRPr="00221A9C">
              <w:rPr>
                <w:rFonts w:cstheme="minorHAnsi"/>
                <w:b/>
                <w:bCs/>
                <w:szCs w:val="18"/>
              </w:rPr>
              <w:t>weighting of decision factor</w:t>
            </w:r>
            <w:r>
              <w:rPr>
                <w:rFonts w:cstheme="minorHAnsi"/>
                <w:b/>
                <w:bCs/>
                <w:szCs w:val="18"/>
              </w:rPr>
              <w:t>s</w:t>
            </w:r>
          </w:p>
        </w:tc>
        <w:tc>
          <w:tcPr>
            <w:tcW w:w="1999" w:type="pct"/>
            <w:noWrap/>
            <w:hideMark/>
          </w:tcPr>
          <w:p w14:paraId="25F51BB5" w14:textId="77777777" w:rsidR="00156C9E" w:rsidRPr="007F51FB" w:rsidRDefault="00156C9E" w:rsidP="00634CA1">
            <w:pPr>
              <w:rPr>
                <w:b/>
                <w:bCs/>
              </w:rPr>
            </w:pPr>
            <w:r w:rsidRPr="007F51FB">
              <w:rPr>
                <w:b/>
                <w:bCs/>
              </w:rPr>
              <w:t>Application</w:t>
            </w:r>
          </w:p>
        </w:tc>
      </w:tr>
      <w:tr w:rsidR="00156C9E" w:rsidRPr="007F51FB" w14:paraId="159661AD" w14:textId="77777777" w:rsidTr="00634CA1">
        <w:trPr>
          <w:trHeight w:val="300"/>
        </w:trPr>
        <w:tc>
          <w:tcPr>
            <w:tcW w:w="748" w:type="pct"/>
            <w:noWrap/>
            <w:hideMark/>
          </w:tcPr>
          <w:p w14:paraId="4C2061FF" w14:textId="77777777" w:rsidR="00156C9E" w:rsidRPr="007415EF" w:rsidRDefault="00156C9E" w:rsidP="00634CA1">
            <w:pPr>
              <w:rPr>
                <w:bCs/>
              </w:rPr>
            </w:pPr>
            <w:r w:rsidRPr="007415EF">
              <w:rPr>
                <w:bCs/>
              </w:rPr>
              <w:t>Australia (PBAC, MSAC)</w:t>
            </w:r>
          </w:p>
        </w:tc>
        <w:tc>
          <w:tcPr>
            <w:tcW w:w="668" w:type="pct"/>
            <w:noWrap/>
            <w:hideMark/>
          </w:tcPr>
          <w:p w14:paraId="115C6036" w14:textId="77777777" w:rsidR="00156C9E" w:rsidRPr="007F51FB" w:rsidRDefault="00156C9E" w:rsidP="00634CA1">
            <w:r w:rsidRPr="007F51FB">
              <w:t>No (not explicitly)</w:t>
            </w:r>
          </w:p>
        </w:tc>
        <w:tc>
          <w:tcPr>
            <w:tcW w:w="1585" w:type="pct"/>
            <w:noWrap/>
            <w:hideMark/>
          </w:tcPr>
          <w:p w14:paraId="1FE3B2AA" w14:textId="77777777" w:rsidR="00156C9E" w:rsidRPr="007F51FB" w:rsidRDefault="00156C9E" w:rsidP="00634CA1">
            <w:r w:rsidRPr="007F51FB">
              <w:t xml:space="preserve">Qualitative deliberation: In making recommendations the PBAC/MSAC </w:t>
            </w:r>
            <w:r w:rsidRPr="007F51FB">
              <w:lastRenderedPageBreak/>
              <w:t xml:space="preserve">apply judgements to value health technologies during deliberation. </w:t>
            </w:r>
          </w:p>
        </w:tc>
        <w:tc>
          <w:tcPr>
            <w:tcW w:w="1999" w:type="pct"/>
            <w:noWrap/>
            <w:hideMark/>
          </w:tcPr>
          <w:p w14:paraId="7D49DC53" w14:textId="77777777" w:rsidR="00156C9E" w:rsidRPr="007F51FB" w:rsidRDefault="00156C9E" w:rsidP="00634CA1">
            <w:r w:rsidRPr="007F51FB">
              <w:lastRenderedPageBreak/>
              <w:t>PBAC do</w:t>
            </w:r>
            <w:r>
              <w:t>es</w:t>
            </w:r>
            <w:r w:rsidRPr="007F51FB">
              <w:t xml:space="preserve"> not explicitly apply weighing to </w:t>
            </w:r>
            <w:r>
              <w:t xml:space="preserve">health </w:t>
            </w:r>
            <w:r w:rsidRPr="007F51FB">
              <w:t>outcomes</w:t>
            </w:r>
            <w:r>
              <w:t xml:space="preserve"> in economic modelling</w:t>
            </w:r>
            <w:r w:rsidRPr="007F51FB">
              <w:t xml:space="preserve">. </w:t>
            </w:r>
            <w:r w:rsidRPr="007F51FB">
              <w:lastRenderedPageBreak/>
              <w:t xml:space="preserve">However, other less-readily quantifiable factors that also influence PBAC </w:t>
            </w:r>
            <w:r>
              <w:t>decision-making</w:t>
            </w:r>
            <w:r w:rsidRPr="007F51FB">
              <w:t xml:space="preserve"> are outlined (PBAC Guidelines v5.0 pp4-5). [Consultation – consumer/patient groups; Submission can provide additional evidence in the form of expert opinion (PBAC Guidelines v5.0 Appendix 1)].</w:t>
            </w:r>
            <w:r>
              <w:t xml:space="preserve"> </w:t>
            </w:r>
          </w:p>
        </w:tc>
      </w:tr>
      <w:tr w:rsidR="00156C9E" w:rsidRPr="007F51FB" w14:paraId="0DC84BB9" w14:textId="77777777" w:rsidTr="00634CA1">
        <w:trPr>
          <w:trHeight w:val="600"/>
        </w:trPr>
        <w:tc>
          <w:tcPr>
            <w:tcW w:w="748" w:type="pct"/>
            <w:noWrap/>
            <w:hideMark/>
          </w:tcPr>
          <w:p w14:paraId="452DF7B3" w14:textId="77777777" w:rsidR="00156C9E" w:rsidRPr="007415EF" w:rsidRDefault="00156C9E" w:rsidP="00634CA1">
            <w:pPr>
              <w:rPr>
                <w:bCs/>
              </w:rPr>
            </w:pPr>
            <w:r>
              <w:rPr>
                <w:bCs/>
              </w:rPr>
              <w:lastRenderedPageBreak/>
              <w:t>England and Wales</w:t>
            </w:r>
            <w:r w:rsidRPr="007415EF">
              <w:rPr>
                <w:bCs/>
              </w:rPr>
              <w:t xml:space="preserve"> (NICE)</w:t>
            </w:r>
          </w:p>
        </w:tc>
        <w:tc>
          <w:tcPr>
            <w:tcW w:w="668" w:type="pct"/>
            <w:noWrap/>
            <w:hideMark/>
          </w:tcPr>
          <w:p w14:paraId="0F845D4E" w14:textId="77777777" w:rsidR="00156C9E" w:rsidRPr="007F51FB" w:rsidRDefault="00156C9E" w:rsidP="00634CA1">
            <w:r w:rsidRPr="007F51FB">
              <w:t>Yes</w:t>
            </w:r>
          </w:p>
        </w:tc>
        <w:tc>
          <w:tcPr>
            <w:tcW w:w="1585" w:type="pct"/>
            <w:hideMark/>
          </w:tcPr>
          <w:p w14:paraId="63FC338E" w14:textId="77777777" w:rsidR="00156C9E" w:rsidRDefault="00156C9E" w:rsidP="00634CA1">
            <w:r w:rsidRPr="007F51FB">
              <w:t>Structured deliberation: MCDA applied with decision rules</w:t>
            </w:r>
            <w:r>
              <w:t xml:space="preserve">. </w:t>
            </w:r>
          </w:p>
          <w:p w14:paraId="5D52AD98" w14:textId="77777777" w:rsidR="00156C9E" w:rsidRDefault="00156C9E" w:rsidP="00634CA1">
            <w:r w:rsidRPr="007F51FB">
              <w:t xml:space="preserve">(1) MCDA </w:t>
            </w:r>
          </w:p>
          <w:p w14:paraId="47DA8659" w14:textId="77777777" w:rsidR="00156C9E" w:rsidRPr="007F51FB" w:rsidRDefault="00156C9E" w:rsidP="00634CA1">
            <w:r w:rsidRPr="007F51FB">
              <w:t>(2) Decisions modifiers</w:t>
            </w:r>
            <w:r>
              <w:t>; proportional shortfall and absolute shortfall</w:t>
            </w:r>
          </w:p>
        </w:tc>
        <w:tc>
          <w:tcPr>
            <w:tcW w:w="1999" w:type="pct"/>
            <w:noWrap/>
            <w:hideMark/>
          </w:tcPr>
          <w:p w14:paraId="2560CDEA" w14:textId="77777777" w:rsidR="00156C9E" w:rsidRPr="007F51FB" w:rsidRDefault="00156C9E" w:rsidP="00634CA1">
            <w:r w:rsidRPr="007F51FB">
              <w:t>MCDA: To support cost–consequences</w:t>
            </w:r>
            <w:r>
              <w:t xml:space="preserve"> analysis when </w:t>
            </w:r>
            <w:r w:rsidRPr="00531763">
              <w:t>a cost per QALY approach is not possible</w:t>
            </w:r>
            <w:r w:rsidRPr="007F51FB">
              <w:br/>
              <w:t>Decision modifiers</w:t>
            </w:r>
            <w:r>
              <w:t xml:space="preserve"> (</w:t>
            </w:r>
            <w:r w:rsidRPr="002C5B0B">
              <w:t>severity</w:t>
            </w:r>
            <w:r>
              <w:t xml:space="preserve"> and </w:t>
            </w:r>
            <w:r w:rsidRPr="002C5B0B">
              <w:t>size of benefit</w:t>
            </w:r>
            <w:r>
              <w:t>)</w:t>
            </w:r>
            <w:r w:rsidRPr="007F51FB">
              <w:t>: When QALY</w:t>
            </w:r>
            <w:r>
              <w:t>s</w:t>
            </w:r>
            <w:r w:rsidRPr="007F51FB">
              <w:t xml:space="preserve"> do not factor in all benefits, because they cannot be, and value judgements. Modifiers can be taken into account qualitatively through committee discussion or quantitatively.</w:t>
            </w:r>
          </w:p>
        </w:tc>
      </w:tr>
      <w:tr w:rsidR="00156C9E" w:rsidRPr="007F51FB" w14:paraId="512B4692" w14:textId="77777777" w:rsidTr="00634CA1">
        <w:trPr>
          <w:trHeight w:val="300"/>
        </w:trPr>
        <w:tc>
          <w:tcPr>
            <w:tcW w:w="748" w:type="pct"/>
            <w:noWrap/>
            <w:hideMark/>
          </w:tcPr>
          <w:p w14:paraId="580DB725" w14:textId="77777777" w:rsidR="00156C9E" w:rsidRPr="007415EF" w:rsidRDefault="00156C9E" w:rsidP="00634CA1">
            <w:pPr>
              <w:rPr>
                <w:bCs/>
              </w:rPr>
            </w:pPr>
            <w:r>
              <w:rPr>
                <w:bCs/>
              </w:rPr>
              <w:t>Scotland</w:t>
            </w:r>
            <w:r w:rsidRPr="007415EF">
              <w:rPr>
                <w:bCs/>
              </w:rPr>
              <w:t xml:space="preserve"> (SMC)</w:t>
            </w:r>
          </w:p>
        </w:tc>
        <w:tc>
          <w:tcPr>
            <w:tcW w:w="668" w:type="pct"/>
            <w:noWrap/>
            <w:hideMark/>
          </w:tcPr>
          <w:p w14:paraId="2137F676" w14:textId="77777777" w:rsidR="00156C9E" w:rsidRPr="007F51FB" w:rsidRDefault="00156C9E" w:rsidP="00634CA1">
            <w:r>
              <w:t>No (not explicitly)</w:t>
            </w:r>
          </w:p>
        </w:tc>
        <w:tc>
          <w:tcPr>
            <w:tcW w:w="1585" w:type="pct"/>
          </w:tcPr>
          <w:p w14:paraId="7AF6D58B" w14:textId="77777777" w:rsidR="00156C9E" w:rsidRPr="007F51FB" w:rsidRDefault="00156C9E" w:rsidP="00634CA1">
            <w:r w:rsidRPr="007F51FB">
              <w:t>Qualitative deliberation</w:t>
            </w:r>
            <w:r>
              <w:t xml:space="preserve">. </w:t>
            </w:r>
          </w:p>
        </w:tc>
        <w:tc>
          <w:tcPr>
            <w:tcW w:w="1999" w:type="pct"/>
            <w:noWrap/>
            <w:hideMark/>
          </w:tcPr>
          <w:p w14:paraId="6A6B3D0A" w14:textId="77777777" w:rsidR="00156C9E" w:rsidRDefault="00156C9E" w:rsidP="00634CA1">
            <w:r>
              <w:t xml:space="preserve">SMC do not explicitly apply weighing to health outcomes. However, other factors are considered that can also influence decision-making. </w:t>
            </w:r>
          </w:p>
          <w:p w14:paraId="2F11991A" w14:textId="77777777" w:rsidR="00156C9E" w:rsidRPr="007F51FB" w:rsidRDefault="00156C9E" w:rsidP="00634CA1">
            <w:r w:rsidRPr="00394014">
              <w:t>An additional QALY is of equal value regardless of individual</w:t>
            </w:r>
            <w:r>
              <w:t xml:space="preserve"> </w:t>
            </w:r>
            <w:r w:rsidRPr="00394014">
              <w:t>characteristics such as their socio-demographic details, or their pre- or post-treatment level of health end</w:t>
            </w:r>
            <w:r>
              <w:t>-</w:t>
            </w:r>
            <w:r w:rsidRPr="00394014">
              <w:t>of</w:t>
            </w:r>
            <w:r>
              <w:t>-</w:t>
            </w:r>
            <w:r w:rsidRPr="00394014">
              <w:t>life/rare medicines.</w:t>
            </w:r>
          </w:p>
        </w:tc>
      </w:tr>
      <w:tr w:rsidR="00156C9E" w:rsidRPr="007F51FB" w14:paraId="47A1371C" w14:textId="77777777" w:rsidTr="00634CA1">
        <w:trPr>
          <w:trHeight w:val="300"/>
        </w:trPr>
        <w:tc>
          <w:tcPr>
            <w:tcW w:w="748" w:type="pct"/>
            <w:noWrap/>
            <w:hideMark/>
          </w:tcPr>
          <w:p w14:paraId="043F3DDD" w14:textId="77777777" w:rsidR="00156C9E" w:rsidRPr="007415EF" w:rsidRDefault="00156C9E" w:rsidP="00634CA1">
            <w:pPr>
              <w:rPr>
                <w:bCs/>
              </w:rPr>
            </w:pPr>
            <w:r w:rsidRPr="007415EF">
              <w:rPr>
                <w:bCs/>
              </w:rPr>
              <w:t>Canada (CADTH)</w:t>
            </w:r>
          </w:p>
        </w:tc>
        <w:tc>
          <w:tcPr>
            <w:tcW w:w="668" w:type="pct"/>
            <w:noWrap/>
            <w:hideMark/>
          </w:tcPr>
          <w:p w14:paraId="0934ED34" w14:textId="77777777" w:rsidR="00156C9E" w:rsidRPr="007F51FB" w:rsidRDefault="00156C9E" w:rsidP="00634CA1">
            <w:r w:rsidRPr="007F51FB">
              <w:t>Not</w:t>
            </w:r>
            <w:r>
              <w:t xml:space="preserve"> explicitly</w:t>
            </w:r>
            <w:r w:rsidRPr="007F51FB">
              <w:t xml:space="preserve"> specified</w:t>
            </w:r>
          </w:p>
        </w:tc>
        <w:tc>
          <w:tcPr>
            <w:tcW w:w="1585" w:type="pct"/>
            <w:noWrap/>
            <w:hideMark/>
          </w:tcPr>
          <w:p w14:paraId="4E7C93EB" w14:textId="77777777" w:rsidR="00156C9E" w:rsidRDefault="00156C9E" w:rsidP="00634CA1">
            <w:r w:rsidRPr="007F51FB">
              <w:t>Qualitative deliberation</w:t>
            </w:r>
            <w:r>
              <w:t xml:space="preserve">. </w:t>
            </w:r>
          </w:p>
          <w:p w14:paraId="1C4388C6" w14:textId="77777777" w:rsidR="00156C9E" w:rsidRPr="007F51FB" w:rsidRDefault="00156C9E" w:rsidP="00634CA1">
            <w:r w:rsidRPr="007F51FB">
              <w:t xml:space="preserve">In the reference case, all </w:t>
            </w:r>
            <w:r>
              <w:t xml:space="preserve">health </w:t>
            </w:r>
            <w:r w:rsidRPr="007F51FB">
              <w:t>outcomes should be weighted equally, regardless of the characteristics of people receiving, or affected by, the intervention in question</w:t>
            </w:r>
          </w:p>
        </w:tc>
        <w:tc>
          <w:tcPr>
            <w:tcW w:w="1999" w:type="pct"/>
            <w:noWrap/>
            <w:hideMark/>
          </w:tcPr>
          <w:p w14:paraId="65E2C4B5" w14:textId="77777777" w:rsidR="00156C9E" w:rsidRPr="007F51FB" w:rsidRDefault="00156C9E" w:rsidP="00634CA1">
            <w:r w:rsidRPr="007F51FB">
              <w:t>However, it allows for weighting of health outcomes to consider distributional and equity-related policy concerns.</w:t>
            </w:r>
          </w:p>
        </w:tc>
      </w:tr>
      <w:tr w:rsidR="00156C9E" w:rsidRPr="007F51FB" w14:paraId="34914FC3" w14:textId="77777777" w:rsidTr="00634CA1">
        <w:trPr>
          <w:trHeight w:val="300"/>
        </w:trPr>
        <w:tc>
          <w:tcPr>
            <w:tcW w:w="748" w:type="pct"/>
            <w:noWrap/>
            <w:hideMark/>
          </w:tcPr>
          <w:p w14:paraId="0ECC0178" w14:textId="77777777" w:rsidR="00156C9E" w:rsidRPr="007415EF" w:rsidRDefault="00156C9E" w:rsidP="00634CA1">
            <w:pPr>
              <w:rPr>
                <w:bCs/>
              </w:rPr>
            </w:pPr>
            <w:r w:rsidRPr="007415EF">
              <w:rPr>
                <w:bCs/>
              </w:rPr>
              <w:t>New Zealand (PHARMAC)</w:t>
            </w:r>
          </w:p>
        </w:tc>
        <w:tc>
          <w:tcPr>
            <w:tcW w:w="668" w:type="pct"/>
            <w:noWrap/>
            <w:hideMark/>
          </w:tcPr>
          <w:p w14:paraId="43611955" w14:textId="77777777" w:rsidR="00156C9E" w:rsidRPr="007F51FB" w:rsidRDefault="00156C9E" w:rsidP="00634CA1">
            <w:r w:rsidRPr="007F51FB">
              <w:t>No</w:t>
            </w:r>
            <w:r>
              <w:t xml:space="preserve"> (not explicitly)</w:t>
            </w:r>
          </w:p>
        </w:tc>
        <w:tc>
          <w:tcPr>
            <w:tcW w:w="1585" w:type="pct"/>
          </w:tcPr>
          <w:p w14:paraId="7F15A951" w14:textId="77777777" w:rsidR="00156C9E" w:rsidRDefault="00156C9E" w:rsidP="00634CA1">
            <w:r w:rsidRPr="007F51FB">
              <w:t>Qualitative deliberation</w:t>
            </w:r>
            <w:r>
              <w:t xml:space="preserve">. </w:t>
            </w:r>
          </w:p>
          <w:p w14:paraId="7D0D87A7" w14:textId="77777777" w:rsidR="00156C9E" w:rsidRPr="007F51FB" w:rsidRDefault="00156C9E" w:rsidP="00634CA1">
            <w:r w:rsidRPr="007F51FB">
              <w:t>Health-related benefits included in a cost-utility analysis should not be weighted</w:t>
            </w:r>
          </w:p>
        </w:tc>
        <w:tc>
          <w:tcPr>
            <w:tcW w:w="1999" w:type="pct"/>
          </w:tcPr>
          <w:p w14:paraId="0B19FBFF" w14:textId="77777777" w:rsidR="00156C9E" w:rsidRDefault="00156C9E" w:rsidP="00634CA1">
            <w:r>
              <w:t xml:space="preserve">PHARMAC </w:t>
            </w:r>
            <w:r w:rsidRPr="007F51FB">
              <w:t>do not explicitly apply weighing to outcomes</w:t>
            </w:r>
            <w:r>
              <w:t xml:space="preserve"> in economic modelling</w:t>
            </w:r>
            <w:r w:rsidRPr="007F51FB">
              <w:t>.</w:t>
            </w:r>
          </w:p>
          <w:p w14:paraId="7EE50F85" w14:textId="77777777" w:rsidR="00156C9E" w:rsidRPr="007F51FB" w:rsidRDefault="00156C9E" w:rsidP="00634CA1">
            <w:r>
              <w:t xml:space="preserve">Factors outlined for consideration for decision-making by PHARMAC are: need, health benefits, suitability, and costs and savings. </w:t>
            </w:r>
          </w:p>
        </w:tc>
      </w:tr>
      <w:tr w:rsidR="00156C9E" w:rsidRPr="007F51FB" w14:paraId="5F8CA70B" w14:textId="77777777" w:rsidTr="00634CA1">
        <w:trPr>
          <w:trHeight w:val="300"/>
        </w:trPr>
        <w:tc>
          <w:tcPr>
            <w:tcW w:w="748" w:type="pct"/>
            <w:noWrap/>
            <w:hideMark/>
          </w:tcPr>
          <w:p w14:paraId="45ADBBCA" w14:textId="77777777" w:rsidR="00156C9E" w:rsidRPr="007415EF" w:rsidRDefault="00156C9E" w:rsidP="00634CA1">
            <w:pPr>
              <w:rPr>
                <w:bCs/>
              </w:rPr>
            </w:pPr>
            <w:r w:rsidRPr="007415EF">
              <w:rPr>
                <w:bCs/>
              </w:rPr>
              <w:t xml:space="preserve">France </w:t>
            </w:r>
            <w:r>
              <w:rPr>
                <w:bCs/>
              </w:rPr>
              <w:t>(HAS)</w:t>
            </w:r>
          </w:p>
        </w:tc>
        <w:tc>
          <w:tcPr>
            <w:tcW w:w="668" w:type="pct"/>
            <w:noWrap/>
            <w:hideMark/>
          </w:tcPr>
          <w:p w14:paraId="350A06F4" w14:textId="77777777" w:rsidR="00156C9E" w:rsidRPr="007F51FB" w:rsidRDefault="00156C9E" w:rsidP="00634CA1">
            <w:r w:rsidRPr="007F51FB">
              <w:t xml:space="preserve">No </w:t>
            </w:r>
          </w:p>
        </w:tc>
        <w:tc>
          <w:tcPr>
            <w:tcW w:w="1585" w:type="pct"/>
          </w:tcPr>
          <w:p w14:paraId="5CB99EEC" w14:textId="77777777" w:rsidR="00156C9E" w:rsidRPr="007F51FB" w:rsidRDefault="00156C9E" w:rsidP="00634CA1">
            <w:r>
              <w:t>-</w:t>
            </w:r>
          </w:p>
        </w:tc>
        <w:tc>
          <w:tcPr>
            <w:tcW w:w="1999" w:type="pct"/>
          </w:tcPr>
          <w:p w14:paraId="5812AD3B" w14:textId="77777777" w:rsidR="00156C9E" w:rsidRPr="007F51FB" w:rsidRDefault="00156C9E" w:rsidP="00634CA1">
            <w:r>
              <w:t>W</w:t>
            </w:r>
            <w:r w:rsidRPr="007F51FB">
              <w:t>eighting of QALYs according to the individual characteristics of the persons involved in the intervention (socio-demographic factors, severity, etc.) is not recommended.</w:t>
            </w:r>
          </w:p>
        </w:tc>
      </w:tr>
      <w:tr w:rsidR="00156C9E" w:rsidRPr="007F51FB" w14:paraId="6E63A464" w14:textId="77777777" w:rsidTr="00634CA1">
        <w:trPr>
          <w:trHeight w:val="300"/>
        </w:trPr>
        <w:tc>
          <w:tcPr>
            <w:tcW w:w="748" w:type="pct"/>
            <w:noWrap/>
            <w:hideMark/>
          </w:tcPr>
          <w:p w14:paraId="31F13F71" w14:textId="77777777" w:rsidR="00156C9E" w:rsidRPr="007415EF" w:rsidRDefault="00156C9E" w:rsidP="00634CA1">
            <w:pPr>
              <w:rPr>
                <w:bCs/>
              </w:rPr>
            </w:pPr>
            <w:r w:rsidRPr="007415EF">
              <w:rPr>
                <w:bCs/>
              </w:rPr>
              <w:t>Germany</w:t>
            </w:r>
            <w:r>
              <w:rPr>
                <w:bCs/>
              </w:rPr>
              <w:t xml:space="preserve"> (</w:t>
            </w:r>
            <w:proofErr w:type="spellStart"/>
            <w:r>
              <w:rPr>
                <w:bCs/>
              </w:rPr>
              <w:t>IQWiG</w:t>
            </w:r>
            <w:proofErr w:type="spellEnd"/>
            <w:r>
              <w:rPr>
                <w:bCs/>
              </w:rPr>
              <w:t>)</w:t>
            </w:r>
          </w:p>
        </w:tc>
        <w:tc>
          <w:tcPr>
            <w:tcW w:w="668" w:type="pct"/>
            <w:noWrap/>
            <w:hideMark/>
          </w:tcPr>
          <w:p w14:paraId="0F1BA1DA" w14:textId="77777777" w:rsidR="00156C9E" w:rsidRPr="007F51FB" w:rsidRDefault="00156C9E" w:rsidP="00634CA1">
            <w:r w:rsidRPr="007F51FB">
              <w:t>Yes</w:t>
            </w:r>
          </w:p>
        </w:tc>
        <w:tc>
          <w:tcPr>
            <w:tcW w:w="1585" w:type="pct"/>
            <w:noWrap/>
            <w:hideMark/>
          </w:tcPr>
          <w:p w14:paraId="321CECD5" w14:textId="77777777" w:rsidR="00156C9E" w:rsidRDefault="00156C9E" w:rsidP="00634CA1">
            <w:r>
              <w:t xml:space="preserve">Quantitative deliberation: </w:t>
            </w:r>
          </w:p>
          <w:p w14:paraId="1AB6698B" w14:textId="77777777" w:rsidR="00156C9E" w:rsidRPr="007F51FB" w:rsidRDefault="00156C9E" w:rsidP="00634CA1">
            <w:r w:rsidRPr="007F51FB">
              <w:t>Analytic hierarchy process (AHP) and discrete choice experiments (DCE)</w:t>
            </w:r>
            <w:r>
              <w:t xml:space="preserve">. </w:t>
            </w:r>
          </w:p>
        </w:tc>
        <w:tc>
          <w:tcPr>
            <w:tcW w:w="1999" w:type="pct"/>
            <w:noWrap/>
            <w:hideMark/>
          </w:tcPr>
          <w:p w14:paraId="62FBBBE1" w14:textId="77777777" w:rsidR="00156C9E" w:rsidRPr="007F51FB" w:rsidRDefault="00156C9E" w:rsidP="00634CA1">
            <w:r w:rsidRPr="007F51FB">
              <w:t>Determination of preferences to establish a measure of overall benefit.</w:t>
            </w:r>
          </w:p>
        </w:tc>
      </w:tr>
      <w:tr w:rsidR="00156C9E" w:rsidRPr="007F51FB" w14:paraId="48AD1E29" w14:textId="77777777" w:rsidTr="00634CA1">
        <w:trPr>
          <w:trHeight w:val="300"/>
        </w:trPr>
        <w:tc>
          <w:tcPr>
            <w:tcW w:w="748" w:type="pct"/>
            <w:noWrap/>
          </w:tcPr>
          <w:p w14:paraId="7FA6819E" w14:textId="77777777" w:rsidR="00156C9E" w:rsidRPr="007415EF" w:rsidRDefault="00156C9E" w:rsidP="00634CA1">
            <w:pPr>
              <w:rPr>
                <w:bCs/>
              </w:rPr>
            </w:pPr>
            <w:r w:rsidRPr="007415EF">
              <w:rPr>
                <w:bCs/>
              </w:rPr>
              <w:t>Norway</w:t>
            </w:r>
            <w:r>
              <w:rPr>
                <w:bCs/>
              </w:rPr>
              <w:t xml:space="preserve"> (NIPH/</w:t>
            </w:r>
            <w:proofErr w:type="spellStart"/>
            <w:r>
              <w:rPr>
                <w:bCs/>
              </w:rPr>
              <w:t>NoMA</w:t>
            </w:r>
            <w:proofErr w:type="spellEnd"/>
            <w:r>
              <w:rPr>
                <w:bCs/>
              </w:rPr>
              <w:t>)</w:t>
            </w:r>
          </w:p>
        </w:tc>
        <w:tc>
          <w:tcPr>
            <w:tcW w:w="668" w:type="pct"/>
            <w:noWrap/>
          </w:tcPr>
          <w:p w14:paraId="31C77CD1" w14:textId="77777777" w:rsidR="00156C9E" w:rsidRDefault="00156C9E" w:rsidP="00634CA1">
            <w:r w:rsidRPr="007F51FB">
              <w:t>Yes</w:t>
            </w:r>
          </w:p>
        </w:tc>
        <w:tc>
          <w:tcPr>
            <w:tcW w:w="1585" w:type="pct"/>
            <w:noWrap/>
          </w:tcPr>
          <w:p w14:paraId="4D0C1F7D" w14:textId="77777777" w:rsidR="00156C9E" w:rsidRDefault="00156C9E" w:rsidP="00634CA1">
            <w:r>
              <w:t>QALY weighting</w:t>
            </w:r>
          </w:p>
          <w:p w14:paraId="6520D5C6" w14:textId="77777777" w:rsidR="00156C9E" w:rsidRPr="007F51FB" w:rsidDel="00B010DD" w:rsidRDefault="00156C9E" w:rsidP="00634CA1">
            <w:r w:rsidRPr="007F51FB">
              <w:t xml:space="preserve">Similar to NICE, according to </w:t>
            </w:r>
            <w:r>
              <w:t xml:space="preserve">absolute </w:t>
            </w:r>
            <w:r w:rsidRPr="007F51FB">
              <w:t>shortfall of QALYs</w:t>
            </w:r>
            <w:r>
              <w:t>. Variable threshold.</w:t>
            </w:r>
          </w:p>
        </w:tc>
        <w:tc>
          <w:tcPr>
            <w:tcW w:w="1999" w:type="pct"/>
            <w:noWrap/>
          </w:tcPr>
          <w:p w14:paraId="37B60531" w14:textId="77777777" w:rsidR="00156C9E" w:rsidRDefault="00156C9E" w:rsidP="00634CA1">
            <w:r>
              <w:t xml:space="preserve">Factors considered: equal access, need, and solidarity, aiming to ensure fairness and equity in resource allocation. </w:t>
            </w:r>
          </w:p>
          <w:p w14:paraId="5CF1F0BB" w14:textId="77777777" w:rsidR="00156C9E" w:rsidRPr="007F51FB" w:rsidDel="00B010DD" w:rsidRDefault="00156C9E" w:rsidP="00634CA1">
            <w:r w:rsidRPr="007F51FB">
              <w:t>For prevention and severe diseases</w:t>
            </w:r>
            <w:r>
              <w:t xml:space="preserve">. </w:t>
            </w:r>
          </w:p>
        </w:tc>
      </w:tr>
      <w:tr w:rsidR="00156C9E" w:rsidRPr="007F51FB" w14:paraId="5B362030" w14:textId="77777777" w:rsidTr="00634CA1">
        <w:trPr>
          <w:trHeight w:val="300"/>
        </w:trPr>
        <w:tc>
          <w:tcPr>
            <w:tcW w:w="748" w:type="pct"/>
            <w:noWrap/>
          </w:tcPr>
          <w:p w14:paraId="346AD7C6" w14:textId="77777777" w:rsidR="00156C9E" w:rsidRPr="007415EF" w:rsidRDefault="00156C9E" w:rsidP="00634CA1">
            <w:pPr>
              <w:rPr>
                <w:bCs/>
              </w:rPr>
            </w:pPr>
            <w:r w:rsidRPr="007415EF">
              <w:rPr>
                <w:bCs/>
              </w:rPr>
              <w:t xml:space="preserve">Sweden </w:t>
            </w:r>
            <w:r>
              <w:rPr>
                <w:bCs/>
              </w:rPr>
              <w:t>(TLV)</w:t>
            </w:r>
          </w:p>
        </w:tc>
        <w:tc>
          <w:tcPr>
            <w:tcW w:w="668" w:type="pct"/>
            <w:noWrap/>
          </w:tcPr>
          <w:p w14:paraId="01E48859" w14:textId="77777777" w:rsidR="00156C9E" w:rsidRDefault="00156C9E" w:rsidP="00634CA1">
            <w:r w:rsidRPr="007F51FB">
              <w:t>Yes</w:t>
            </w:r>
          </w:p>
        </w:tc>
        <w:tc>
          <w:tcPr>
            <w:tcW w:w="1585" w:type="pct"/>
            <w:noWrap/>
          </w:tcPr>
          <w:p w14:paraId="374F6166" w14:textId="77777777" w:rsidR="00156C9E" w:rsidRDefault="00156C9E" w:rsidP="00634CA1">
            <w:r>
              <w:t xml:space="preserve">QALY weighting using severity (note: severity is not clearly defined) </w:t>
            </w:r>
          </w:p>
          <w:p w14:paraId="7B586031" w14:textId="77777777" w:rsidR="00156C9E" w:rsidRPr="007F51FB" w:rsidDel="00B010DD" w:rsidRDefault="00156C9E" w:rsidP="00634CA1">
            <w:r>
              <w:t>Variable threshold.</w:t>
            </w:r>
          </w:p>
        </w:tc>
        <w:tc>
          <w:tcPr>
            <w:tcW w:w="1999" w:type="pct"/>
            <w:noWrap/>
          </w:tcPr>
          <w:p w14:paraId="086F3C5A" w14:textId="77777777" w:rsidR="00156C9E" w:rsidRDefault="00156C9E" w:rsidP="00634CA1">
            <w:r w:rsidRPr="001974EA">
              <w:t xml:space="preserve">Caregivers QoL included in economic evaluation (reference case </w:t>
            </w:r>
            <w:r w:rsidRPr="00920CE9">
              <w:t xml:space="preserve">for </w:t>
            </w:r>
            <w:r w:rsidRPr="001974EA">
              <w:t>ATMPs,).</w:t>
            </w:r>
            <w:r>
              <w:t xml:space="preserve"> </w:t>
            </w:r>
          </w:p>
          <w:p w14:paraId="2E6B089C" w14:textId="77777777" w:rsidR="00156C9E" w:rsidRPr="007F51FB" w:rsidDel="00B010DD" w:rsidRDefault="00156C9E" w:rsidP="00634CA1">
            <w:r>
              <w:t>Principles of human dignity, need, cost-effectiveness, and solidarity, allocating resources based on need and considering factors such as illness severity, patient preferences, and societal values alongside cost-effectiveness.</w:t>
            </w:r>
          </w:p>
        </w:tc>
      </w:tr>
      <w:tr w:rsidR="00156C9E" w:rsidRPr="007F51FB" w14:paraId="7AB29252" w14:textId="77777777" w:rsidTr="00634CA1">
        <w:trPr>
          <w:trHeight w:val="300"/>
        </w:trPr>
        <w:tc>
          <w:tcPr>
            <w:tcW w:w="748" w:type="pct"/>
            <w:noWrap/>
          </w:tcPr>
          <w:p w14:paraId="467DB145" w14:textId="77777777" w:rsidR="00156C9E" w:rsidRPr="007415EF" w:rsidRDefault="00156C9E" w:rsidP="00634CA1">
            <w:pPr>
              <w:rPr>
                <w:bCs/>
              </w:rPr>
            </w:pPr>
            <w:r>
              <w:rPr>
                <w:bCs/>
              </w:rPr>
              <w:lastRenderedPageBreak/>
              <w:t xml:space="preserve">The Netherlands (ZIN) </w:t>
            </w:r>
          </w:p>
        </w:tc>
        <w:tc>
          <w:tcPr>
            <w:tcW w:w="668" w:type="pct"/>
            <w:noWrap/>
          </w:tcPr>
          <w:p w14:paraId="5F068A1E" w14:textId="77777777" w:rsidR="00156C9E" w:rsidRDefault="00156C9E" w:rsidP="00634CA1">
            <w:r w:rsidRPr="007F51FB">
              <w:t>Yes</w:t>
            </w:r>
          </w:p>
        </w:tc>
        <w:tc>
          <w:tcPr>
            <w:tcW w:w="1585" w:type="pct"/>
            <w:noWrap/>
          </w:tcPr>
          <w:p w14:paraId="18ED89E0" w14:textId="77777777" w:rsidR="00156C9E" w:rsidRPr="007F51FB" w:rsidDel="00B010DD" w:rsidRDefault="00156C9E" w:rsidP="00634CA1">
            <w:r w:rsidRPr="007F51FB">
              <w:t xml:space="preserve">DCE and MCDA (directly consulting patients and users). References the NICE </w:t>
            </w:r>
            <w:proofErr w:type="spellStart"/>
            <w:r w:rsidRPr="007F51FB">
              <w:t>Diag</w:t>
            </w:r>
            <w:proofErr w:type="spellEnd"/>
            <w:r w:rsidRPr="007F51FB">
              <w:t xml:space="preserve"> Assessment Programme</w:t>
            </w:r>
            <w:r>
              <w:t>. Proportional shortfall method. Variable threshold.</w:t>
            </w:r>
          </w:p>
        </w:tc>
        <w:tc>
          <w:tcPr>
            <w:tcW w:w="1999" w:type="pct"/>
            <w:noWrap/>
          </w:tcPr>
          <w:p w14:paraId="6BCF1C35" w14:textId="77777777" w:rsidR="00156C9E" w:rsidRDefault="00156C9E" w:rsidP="00634CA1">
            <w:r>
              <w:t>Principles of human dignity, need, cost-effectiveness, and solidarity, allocating resources based on need and considering factors such as illness severity, patient preferences, and societal values alongside cost-effectiveness.</w:t>
            </w:r>
          </w:p>
          <w:p w14:paraId="037A0230" w14:textId="77777777" w:rsidR="00156C9E" w:rsidRPr="007F51FB" w:rsidDel="00B010DD" w:rsidRDefault="00156C9E" w:rsidP="00634CA1">
            <w:r w:rsidRPr="007F51FB">
              <w:t>In Netherland for diag</w:t>
            </w:r>
            <w:r>
              <w:t>nostic</w:t>
            </w:r>
            <w:r w:rsidRPr="007F51FB">
              <w:t xml:space="preserve"> test to identify other value components </w:t>
            </w:r>
            <w:r>
              <w:t>(which were not specified in the guidelines)</w:t>
            </w:r>
          </w:p>
        </w:tc>
      </w:tr>
      <w:tr w:rsidR="00156C9E" w:rsidRPr="007F51FB" w14:paraId="11F5A3C4" w14:textId="77777777" w:rsidTr="00634CA1">
        <w:trPr>
          <w:trHeight w:val="300"/>
        </w:trPr>
        <w:tc>
          <w:tcPr>
            <w:tcW w:w="748" w:type="pct"/>
            <w:noWrap/>
            <w:hideMark/>
          </w:tcPr>
          <w:p w14:paraId="2FA45E68" w14:textId="77777777" w:rsidR="00156C9E" w:rsidRPr="007415EF" w:rsidRDefault="00156C9E" w:rsidP="00634CA1">
            <w:pPr>
              <w:rPr>
                <w:bCs/>
              </w:rPr>
            </w:pPr>
            <w:bookmarkStart w:id="15" w:name="_Hlk161993505"/>
            <w:r w:rsidRPr="007415EF">
              <w:rPr>
                <w:bCs/>
              </w:rPr>
              <w:t>Singapore</w:t>
            </w:r>
            <w:r>
              <w:rPr>
                <w:bCs/>
              </w:rPr>
              <w:t xml:space="preserve"> (ACE)</w:t>
            </w:r>
            <w:bookmarkEnd w:id="15"/>
          </w:p>
        </w:tc>
        <w:tc>
          <w:tcPr>
            <w:tcW w:w="668" w:type="pct"/>
            <w:noWrap/>
            <w:hideMark/>
          </w:tcPr>
          <w:p w14:paraId="4FC6971E" w14:textId="77777777" w:rsidR="00156C9E" w:rsidRPr="007F51FB" w:rsidRDefault="00156C9E" w:rsidP="00634CA1">
            <w:r>
              <w:t>No (not explicitly)</w:t>
            </w:r>
          </w:p>
        </w:tc>
        <w:tc>
          <w:tcPr>
            <w:tcW w:w="1585" w:type="pct"/>
            <w:noWrap/>
            <w:hideMark/>
          </w:tcPr>
          <w:p w14:paraId="10A043DA" w14:textId="77777777" w:rsidR="00156C9E" w:rsidRPr="007F51FB" w:rsidRDefault="00156C9E" w:rsidP="00634CA1">
            <w:r w:rsidRPr="00356F40">
              <w:t>Qualitative deliberation: In making recommendations the committees apply judgement to value health technologies</w:t>
            </w:r>
            <w:r>
              <w:t>.</w:t>
            </w:r>
          </w:p>
        </w:tc>
        <w:tc>
          <w:tcPr>
            <w:tcW w:w="1999" w:type="pct"/>
          </w:tcPr>
          <w:p w14:paraId="6F57AF86" w14:textId="77777777" w:rsidR="00156C9E" w:rsidRPr="007F51FB" w:rsidRDefault="00156C9E" w:rsidP="00634CA1">
            <w:r w:rsidRPr="00356F40">
              <w:t>ACE does not explicitly apply weighting to health outcomes in economic modelling. Factors outlined for consideration for decision-making by the committees are: Clinical need of patients, clinical effectiveness, safety and cost-effectiveness of the technology, and budget impact. Additional factors, including social, cultural and ethical issues, and other value judgements may also inform their considerations.</w:t>
            </w:r>
          </w:p>
        </w:tc>
      </w:tr>
    </w:tbl>
    <w:p w14:paraId="1D624589" w14:textId="77777777" w:rsidR="00FF745D" w:rsidRPr="00156C9E" w:rsidRDefault="00000000" w:rsidP="00156C9E">
      <w:pPr>
        <w:pStyle w:val="afc"/>
        <w:snapToGrid w:val="0"/>
        <w:spacing w:line="240" w:lineRule="atLeast"/>
        <w:jc w:val="both"/>
        <w:rPr>
          <w:rFonts w:ascii="Times New Roman" w:eastAsia="ＭＳ Ｐ明朝" w:hAnsi="Times New Roman" w:cs="Times New Roman"/>
          <w:sz w:val="18"/>
          <w:szCs w:val="18"/>
        </w:rPr>
      </w:pPr>
      <w:r w:rsidRPr="00156C9E">
        <w:rPr>
          <w:rFonts w:ascii="Times New Roman" w:eastAsia="ＭＳ Ｐ明朝" w:hAnsi="Times New Roman" w:cs="Times New Roman"/>
          <w:sz w:val="18"/>
          <w:szCs w:val="18"/>
        </w:rPr>
        <w:t>ACE= Agency for Care Effectiveness; AHP= Analytic hierarchy process; ATMPs= Advanced therapy medicinal products; CADTH= Canadian Agency for Drugs and Technologies in Health; DCE= Discrete choice experiment; HAS= Haute Autorité de Santé; HTA= Health technology assessment; MCDA= Multicriteria decision analysis; MSAC= Medical and Scientific Advisory Council; NECA=</w:t>
      </w:r>
      <w:bookmarkStart w:id="16" w:name="_Hlk142928274"/>
      <w:r w:rsidRPr="00156C9E">
        <w:rPr>
          <w:rFonts w:ascii="Times New Roman" w:eastAsia="ＭＳ Ｐ明朝" w:hAnsi="Times New Roman" w:cs="Times New Roman"/>
          <w:sz w:val="18"/>
          <w:szCs w:val="18"/>
        </w:rPr>
        <w:t xml:space="preserve"> National Evidence-based healthcare Collaborating Agency</w:t>
      </w:r>
      <w:bookmarkEnd w:id="16"/>
      <w:r w:rsidRPr="00156C9E">
        <w:rPr>
          <w:rFonts w:ascii="Times New Roman" w:eastAsia="ＭＳ Ｐ明朝" w:hAnsi="Times New Roman" w:cs="Times New Roman"/>
          <w:sz w:val="18"/>
          <w:szCs w:val="18"/>
        </w:rPr>
        <w:t xml:space="preserve"> </w:t>
      </w:r>
      <w:r w:rsidRPr="00156C9E">
        <w:rPr>
          <w:rFonts w:ascii="Times New Roman" w:eastAsia="ＭＳ Ｐ明朝" w:hAnsi="Times New Roman" w:cs="Times New Roman"/>
          <w:sz w:val="18"/>
          <w:szCs w:val="18"/>
        </w:rPr>
        <w:t>；</w:t>
      </w:r>
      <w:r w:rsidRPr="00156C9E">
        <w:rPr>
          <w:rFonts w:ascii="Times New Roman" w:eastAsia="ＭＳ Ｐ明朝" w:hAnsi="Times New Roman" w:cs="Times New Roman"/>
          <w:sz w:val="18"/>
          <w:szCs w:val="18"/>
        </w:rPr>
        <w:t>NICE= National Institute for Health and Care Excellence; NIPH= Norwegian Institute of Public Health; PBAC= Pharmaceutical Benefits Advisory Committee; PHARMAC= Pharmaceutical Management Agency; QALY= Quality adjusted live year; SMC= Scottish Medicines Consortium; TLV= Swedish Dental and Pharmaceutical Benefits Agency; UK= United Kingdom; ZIN= The National Health Care Institute.</w:t>
      </w:r>
    </w:p>
    <w:p w14:paraId="5E1259BB" w14:textId="77777777" w:rsidR="00FF745D" w:rsidRPr="00156C9E" w:rsidRDefault="00000000" w:rsidP="00156C9E">
      <w:pPr>
        <w:pStyle w:val="afc"/>
        <w:snapToGrid w:val="0"/>
        <w:spacing w:line="240" w:lineRule="atLeast"/>
        <w:jc w:val="both"/>
        <w:rPr>
          <w:rFonts w:ascii="Times New Roman" w:eastAsia="ＭＳ Ｐ明朝" w:hAnsi="Times New Roman" w:cs="Times New Roman"/>
          <w:sz w:val="18"/>
          <w:szCs w:val="18"/>
          <w:lang w:eastAsia="ja-JP"/>
        </w:rPr>
      </w:pPr>
      <w:r w:rsidRPr="00156C9E">
        <w:rPr>
          <w:rFonts w:ascii="Times New Roman" w:eastAsia="ＭＳ Ｐ明朝" w:hAnsi="Times New Roman" w:cs="Times New Roman"/>
          <w:sz w:val="18"/>
          <w:szCs w:val="18"/>
          <w:lang w:eastAsia="ja-JP"/>
        </w:rPr>
        <w:t>これらの</w:t>
      </w:r>
      <w:r w:rsidR="0064555B" w:rsidRPr="00156C9E">
        <w:rPr>
          <w:rFonts w:ascii="Times New Roman" w:eastAsia="ＭＳ Ｐ明朝" w:hAnsi="Times New Roman" w:cs="Times New Roman"/>
          <w:sz w:val="18"/>
          <w:szCs w:val="18"/>
          <w:lang w:eastAsia="ja-JP"/>
        </w:rPr>
        <w:t>国・地域</w:t>
      </w:r>
      <w:r w:rsidRPr="00156C9E">
        <w:rPr>
          <w:rFonts w:ascii="Times New Roman" w:eastAsia="ＭＳ Ｐ明朝" w:hAnsi="Times New Roman" w:cs="Times New Roman"/>
          <w:sz w:val="18"/>
          <w:szCs w:val="18"/>
          <w:lang w:eastAsia="ja-JP"/>
        </w:rPr>
        <w:t>（ベルギー、ルクセンブルク、スペイン、日本、韓国、台湾）が定める</w:t>
      </w:r>
      <w:r w:rsidR="0068540B" w:rsidRPr="00156C9E">
        <w:rPr>
          <w:rFonts w:ascii="Times New Roman" w:eastAsia="ＭＳ Ｐ明朝" w:hAnsi="Times New Roman" w:cs="Times New Roman"/>
          <w:sz w:val="18"/>
          <w:szCs w:val="18"/>
          <w:lang w:eastAsia="ja-JP"/>
        </w:rPr>
        <w:t>決定要因の重み付けの</w:t>
      </w:r>
      <w:r w:rsidRPr="00156C9E">
        <w:rPr>
          <w:rFonts w:ascii="Times New Roman" w:eastAsia="ＭＳ Ｐ明朝" w:hAnsi="Times New Roman" w:cs="Times New Roman"/>
          <w:sz w:val="18"/>
          <w:szCs w:val="18"/>
          <w:lang w:eastAsia="ja-JP"/>
        </w:rPr>
        <w:t>使用に関する情報はなかった。</w:t>
      </w:r>
      <w:r w:rsidRPr="00156C9E">
        <w:rPr>
          <w:rFonts w:ascii="Times New Roman" w:eastAsia="ＭＳ Ｐ明朝" w:hAnsi="Times New Roman" w:cs="Times New Roman"/>
          <w:sz w:val="18"/>
          <w:szCs w:val="18"/>
          <w:lang w:eastAsia="ja-JP"/>
        </w:rPr>
        <w:t xml:space="preserve"> </w:t>
      </w:r>
    </w:p>
    <w:p w14:paraId="01094749" w14:textId="77777777" w:rsidR="00FF745D" w:rsidRPr="00156C9E" w:rsidRDefault="00000000" w:rsidP="00156C9E">
      <w:pPr>
        <w:pStyle w:val="afc"/>
        <w:snapToGrid w:val="0"/>
        <w:spacing w:line="240" w:lineRule="atLeast"/>
        <w:jc w:val="both"/>
        <w:rPr>
          <w:rFonts w:ascii="Times New Roman" w:eastAsia="ＭＳ Ｐ明朝" w:hAnsi="Times New Roman" w:cs="Times New Roman"/>
          <w:sz w:val="18"/>
          <w:szCs w:val="18"/>
          <w:lang w:eastAsia="ja-JP"/>
        </w:rPr>
      </w:pPr>
      <w:r w:rsidRPr="00156C9E">
        <w:rPr>
          <w:rFonts w:ascii="Times New Roman" w:eastAsia="ＭＳ Ｐ明朝" w:hAnsi="Times New Roman" w:cs="Times New Roman"/>
          <w:sz w:val="18"/>
          <w:szCs w:val="18"/>
          <w:lang w:eastAsia="ja-JP"/>
        </w:rPr>
        <w:t>出典</w:t>
      </w:r>
      <w:r w:rsidRPr="00156C9E">
        <w:rPr>
          <w:rFonts w:ascii="Times New Roman" w:eastAsia="ＭＳ Ｐ明朝" w:hAnsi="Times New Roman" w:cs="Times New Roman"/>
          <w:sz w:val="18"/>
          <w:szCs w:val="18"/>
          <w:lang w:eastAsia="ja-JP"/>
        </w:rPr>
        <w:t>ACE</w:t>
      </w:r>
      <w:r w:rsidRPr="00156C9E">
        <w:rPr>
          <w:rFonts w:ascii="Times New Roman" w:eastAsia="ＭＳ Ｐ明朝" w:hAnsi="Times New Roman" w:cs="Times New Roman"/>
          <w:sz w:val="18"/>
          <w:szCs w:val="18"/>
          <w:lang w:eastAsia="ja-JP"/>
        </w:rPr>
        <w:t>ガイドライン</w:t>
      </w:r>
      <w:r w:rsidR="006D5038" w:rsidRPr="00156C9E">
        <w:rPr>
          <w:rFonts w:ascii="Times New Roman" w:eastAsia="ＭＳ Ｐ明朝" w:hAnsi="Times New Roman" w:cs="Times New Roman"/>
          <w:sz w:val="18"/>
          <w:szCs w:val="18"/>
          <w:lang w:eastAsia="ja-JP"/>
        </w:rPr>
        <w:t>2023</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C2H</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CADTH</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2017</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HAS</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2020</w:t>
      </w:r>
      <w:r w:rsidRPr="00156C9E">
        <w:rPr>
          <w:rFonts w:ascii="Times New Roman" w:eastAsia="ＭＳ Ｐ明朝" w:hAnsi="Times New Roman" w:cs="Times New Roman"/>
          <w:sz w:val="18"/>
          <w:szCs w:val="18"/>
          <w:lang w:eastAsia="ja-JP"/>
        </w:rPr>
        <w:t>年、</w:t>
      </w:r>
      <w:proofErr w:type="spellStart"/>
      <w:r w:rsidRPr="00156C9E">
        <w:rPr>
          <w:rFonts w:ascii="Times New Roman" w:eastAsia="ＭＳ Ｐ明朝" w:hAnsi="Times New Roman" w:cs="Times New Roman"/>
          <w:sz w:val="18"/>
          <w:szCs w:val="18"/>
          <w:lang w:eastAsia="ja-JP"/>
        </w:rPr>
        <w:t>IQWiG</w:t>
      </w:r>
      <w:proofErr w:type="spellEnd"/>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KCE</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2012</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MSAC</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2021</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NICE</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w:t>
      </w:r>
      <w:proofErr w:type="spellStart"/>
      <w:r w:rsidRPr="00156C9E">
        <w:rPr>
          <w:rFonts w:ascii="Times New Roman" w:eastAsia="ＭＳ Ｐ明朝" w:hAnsi="Times New Roman" w:cs="Times New Roman"/>
          <w:sz w:val="18"/>
          <w:szCs w:val="18"/>
          <w:lang w:eastAsia="ja-JP"/>
        </w:rPr>
        <w:t>NoMA</w:t>
      </w:r>
      <w:proofErr w:type="spellEnd"/>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2018</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PBAC</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2016</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PHARMAC</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SMC</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年、精密医療のための</w:t>
      </w:r>
      <w:r w:rsidRPr="00156C9E">
        <w:rPr>
          <w:rFonts w:ascii="Times New Roman" w:eastAsia="ＭＳ Ｐ明朝" w:hAnsi="Times New Roman" w:cs="Times New Roman"/>
          <w:sz w:val="18"/>
          <w:szCs w:val="18"/>
          <w:lang w:eastAsia="ja-JP"/>
        </w:rPr>
        <w:t>TLV</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2022</w:t>
      </w:r>
      <w:r w:rsidRPr="00156C9E">
        <w:rPr>
          <w:rFonts w:ascii="Times New Roman" w:eastAsia="ＭＳ Ｐ明朝" w:hAnsi="Times New Roman" w:cs="Times New Roman"/>
          <w:sz w:val="18"/>
          <w:szCs w:val="18"/>
          <w:lang w:eastAsia="ja-JP"/>
        </w:rPr>
        <w:t>年、</w:t>
      </w:r>
      <w:r w:rsidRPr="00156C9E">
        <w:rPr>
          <w:rFonts w:ascii="Times New Roman" w:eastAsia="ＭＳ Ｐ明朝" w:hAnsi="Times New Roman" w:cs="Times New Roman"/>
          <w:sz w:val="18"/>
          <w:szCs w:val="18"/>
          <w:lang w:eastAsia="ja-JP"/>
        </w:rPr>
        <w:t>ZIN</w:t>
      </w:r>
      <w:r w:rsidRPr="00156C9E">
        <w:rPr>
          <w:rFonts w:ascii="Times New Roman" w:eastAsia="ＭＳ Ｐ明朝" w:hAnsi="Times New Roman" w:cs="Times New Roman"/>
          <w:sz w:val="18"/>
          <w:szCs w:val="18"/>
          <w:lang w:eastAsia="ja-JP"/>
        </w:rPr>
        <w:t>ガイドライン</w:t>
      </w:r>
      <w:r w:rsidRPr="00156C9E">
        <w:rPr>
          <w:rFonts w:ascii="Times New Roman" w:eastAsia="ＭＳ Ｐ明朝" w:hAnsi="Times New Roman" w:cs="Times New Roman"/>
          <w:sz w:val="18"/>
          <w:szCs w:val="18"/>
          <w:lang w:eastAsia="ja-JP"/>
        </w:rPr>
        <w:t>2016</w:t>
      </w:r>
      <w:r w:rsidRPr="00156C9E">
        <w:rPr>
          <w:rFonts w:ascii="Times New Roman" w:eastAsia="ＭＳ Ｐ明朝" w:hAnsi="Times New Roman" w:cs="Times New Roman"/>
          <w:sz w:val="18"/>
          <w:szCs w:val="18"/>
          <w:lang w:eastAsia="ja-JP"/>
        </w:rPr>
        <w:t>年。</w:t>
      </w:r>
    </w:p>
    <w:p w14:paraId="4081D33A" w14:textId="77777777" w:rsidR="00156C9E" w:rsidRDefault="00156C9E">
      <w:pPr>
        <w:pStyle w:val="a3"/>
        <w:rPr>
          <w:rFonts w:ascii="Times New Roman" w:eastAsia="ＭＳ Ｐ明朝" w:hAnsi="Times New Roman"/>
          <w:sz w:val="20"/>
          <w:szCs w:val="21"/>
          <w:lang w:eastAsia="ja-JP"/>
        </w:rPr>
      </w:pPr>
    </w:p>
    <w:p w14:paraId="5C0061A8" w14:textId="6EE0C8BC"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意思決定要因の重み付けに陳述選好法を用いる際に生じる課題がある。意思決定プロセスにおいて柔軟性が必要とされる場合、特に健康アウトカムや意思決定において考慮される他の要因に関する価値観に重要な違いがある場合、意思決定に許容される重みのセットを作成することは問題となりうる。</w:t>
      </w:r>
    </w:p>
    <w:p w14:paraId="15AF5555"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関連</w:t>
      </w:r>
      <w:r w:rsidR="0064555B" w:rsidRPr="00F46EF2">
        <w:rPr>
          <w:rFonts w:ascii="Times New Roman" w:eastAsia="ＭＳ Ｐ明朝" w:hAnsi="Times New Roman"/>
          <w:sz w:val="20"/>
          <w:szCs w:val="21"/>
          <w:lang w:eastAsia="ja-JP"/>
        </w:rPr>
        <w:t>法域の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ガイドラインでは、健康</w:t>
      </w:r>
      <w:r w:rsidR="008C54AB" w:rsidRPr="00F46EF2">
        <w:rPr>
          <w:rFonts w:ascii="Times New Roman" w:eastAsia="ＭＳ Ｐ明朝" w:hAnsi="Times New Roman"/>
          <w:sz w:val="20"/>
          <w:szCs w:val="21"/>
          <w:lang w:eastAsia="ja-JP"/>
        </w:rPr>
        <w:t>アウトカムの</w:t>
      </w:r>
      <w:r w:rsidRPr="00F46EF2">
        <w:rPr>
          <w:rFonts w:ascii="Times New Roman" w:eastAsia="ＭＳ Ｐ明朝" w:hAnsi="Times New Roman"/>
          <w:sz w:val="20"/>
          <w:szCs w:val="21"/>
          <w:lang w:eastAsia="ja-JP"/>
        </w:rPr>
        <w:t>重み付けに関する</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つの一般的な</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アプローチが特定されている。これらのアプローチの</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つは、</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増加に衡平性の重みを適用し、固定的な金銭的閾値に対して調整後の</w:t>
      </w:r>
      <w:r w:rsidR="008667C6" w:rsidRPr="00F46EF2">
        <w:rPr>
          <w:rFonts w:ascii="Times New Roman" w:eastAsia="ＭＳ Ｐ明朝" w:hAnsi="Times New Roman"/>
          <w:sz w:val="20"/>
          <w:szCs w:val="21"/>
          <w:lang w:eastAsia="ja-JP"/>
        </w:rPr>
        <w:t>増分費用対効果比（</w:t>
      </w:r>
      <w:r w:rsidRPr="00F46EF2">
        <w:rPr>
          <w:rFonts w:ascii="Times New Roman" w:eastAsia="ＭＳ Ｐ明朝" w:hAnsi="Times New Roman"/>
          <w:sz w:val="20"/>
          <w:szCs w:val="21"/>
          <w:lang w:eastAsia="ja-JP"/>
        </w:rPr>
        <w:t>ICER</w:t>
      </w:r>
      <w:r w:rsidR="008667C6" w:rsidRPr="00F46EF2">
        <w:rPr>
          <w:rFonts w:ascii="Times New Roman" w:eastAsia="ＭＳ Ｐ明朝" w:hAnsi="Times New Roman"/>
          <w:sz w:val="20"/>
          <w:szCs w:val="21"/>
          <w:lang w:eastAsia="ja-JP"/>
        </w:rPr>
        <w:t>）を評価するもの</w:t>
      </w:r>
      <w:r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））、もう</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つは、柔軟な金銭的閾値に対して調整前の</w:t>
      </w:r>
      <w:r w:rsidRPr="00F46EF2">
        <w:rPr>
          <w:rFonts w:ascii="Times New Roman" w:eastAsia="ＭＳ Ｐ明朝" w:hAnsi="Times New Roman"/>
          <w:sz w:val="20"/>
          <w:szCs w:val="21"/>
          <w:lang w:eastAsia="ja-JP"/>
        </w:rPr>
        <w:t>ICER</w:t>
      </w:r>
      <w:r w:rsidRPr="00F46EF2">
        <w:rPr>
          <w:rFonts w:ascii="Times New Roman" w:eastAsia="ＭＳ Ｐ明朝" w:hAnsi="Times New Roman"/>
          <w:sz w:val="20"/>
          <w:szCs w:val="21"/>
          <w:lang w:eastAsia="ja-JP"/>
        </w:rPr>
        <w:t>を評価するもの（ノルウェー（</w:t>
      </w:r>
      <w:r w:rsidRPr="00F46EF2">
        <w:rPr>
          <w:rFonts w:ascii="Times New Roman" w:eastAsia="ＭＳ Ｐ明朝" w:hAnsi="Times New Roman"/>
          <w:sz w:val="20"/>
          <w:szCs w:val="21"/>
          <w:lang w:eastAsia="ja-JP"/>
        </w:rPr>
        <w:t>NoMA</w:t>
      </w:r>
      <w:r w:rsidRPr="00F46EF2">
        <w:rPr>
          <w:rFonts w:ascii="Times New Roman" w:eastAsia="ＭＳ Ｐ明朝" w:hAnsi="Times New Roman"/>
          <w:sz w:val="20"/>
          <w:szCs w:val="21"/>
          <w:lang w:eastAsia="ja-JP"/>
        </w:rPr>
        <w:t>）とオランダ（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））である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02696105"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lastRenderedPageBreak/>
        <w:t>第三のアプローチは、</w:t>
      </w:r>
      <w:r w:rsidRPr="00F46EF2">
        <w:rPr>
          <w:rFonts w:ascii="Times New Roman" w:eastAsia="ＭＳ Ｐ明朝" w:hAnsi="Times New Roman"/>
          <w:sz w:val="20"/>
          <w:szCs w:val="21"/>
          <w:lang w:eastAsia="ja-JP"/>
        </w:rPr>
        <w:t>QALYs</w:t>
      </w:r>
      <w:r w:rsidRPr="00F46EF2">
        <w:rPr>
          <w:rFonts w:ascii="Times New Roman" w:eastAsia="ＭＳ Ｐ明朝" w:hAnsi="Times New Roman"/>
          <w:sz w:val="20"/>
          <w:szCs w:val="21"/>
          <w:lang w:eastAsia="ja-JP"/>
        </w:rPr>
        <w:t>を明示的に計量しない定性的な審議である（オーストラリア（</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）など</w:t>
      </w:r>
      <w:r w:rsidR="007B20F3"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。この点に関して、ニュージーランド（</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は定量的モデルから情報を得る熟慮プロセスであるが、決定論的なものではないとしている。意思決定者は、定量的・定性的結果をどの程度、どのように重み付けして決定を下すかを選択することができる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7553DEA7" w14:textId="77777777" w:rsidR="00156C9E" w:rsidRPr="00F46EF2" w:rsidRDefault="00156C9E">
      <w:pPr>
        <w:pStyle w:val="a3"/>
        <w:rPr>
          <w:rFonts w:ascii="Times New Roman" w:eastAsia="ＭＳ Ｐ明朝" w:hAnsi="Times New Roman"/>
          <w:sz w:val="20"/>
          <w:szCs w:val="21"/>
          <w:lang w:eastAsia="ja-JP"/>
        </w:rPr>
      </w:pPr>
    </w:p>
    <w:p w14:paraId="1FBBA6B4" w14:textId="77777777" w:rsidR="00FF745D" w:rsidRPr="00F46EF2" w:rsidRDefault="00000000">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健康状態の重症度と</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の重み付け</w:t>
      </w:r>
      <w:proofErr w:type="spellEnd"/>
    </w:p>
    <w:p w14:paraId="7CF70F78"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つの</w:t>
      </w:r>
      <w:r w:rsidR="00C9096D" w:rsidRPr="00F46EF2">
        <w:rPr>
          <w:rFonts w:ascii="Times New Roman" w:eastAsia="ＭＳ Ｐ明朝" w:hAnsi="Times New Roman"/>
          <w:sz w:val="20"/>
          <w:szCs w:val="21"/>
          <w:lang w:eastAsia="ja-JP"/>
        </w:rPr>
        <w:t>国</w:t>
      </w:r>
      <w:r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NIPH</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の重み付けを、意思決定プロセスで考慮すべき要因の一つとして重症度を含めることで運用している。オランダ（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NIPH/NoMA</w:t>
      </w:r>
      <w:r w:rsidRPr="00F46EF2">
        <w:rPr>
          <w:rFonts w:ascii="Times New Roman" w:eastAsia="ＭＳ Ｐ明朝" w:hAnsi="Times New Roman"/>
          <w:sz w:val="20"/>
          <w:szCs w:val="21"/>
          <w:lang w:eastAsia="ja-JP"/>
        </w:rPr>
        <w:t>）、イングランド・ウェールズ</w:t>
      </w:r>
      <w:r w:rsidR="00574401" w:rsidRPr="00F46EF2">
        <w:rPr>
          <w:rFonts w:ascii="Times New Roman" w:eastAsia="ＭＳ Ｐ明朝" w:hAnsi="Times New Roman"/>
          <w:sz w:val="20"/>
          <w:szCs w:val="21"/>
          <w:lang w:eastAsia="ja-JP"/>
        </w:rPr>
        <w:t>（</w:t>
      </w:r>
      <w:r w:rsidR="00574401" w:rsidRPr="00F46EF2">
        <w:rPr>
          <w:rFonts w:ascii="Times New Roman" w:eastAsia="ＭＳ Ｐ明朝" w:hAnsi="Times New Roman"/>
          <w:sz w:val="20"/>
          <w:szCs w:val="21"/>
          <w:lang w:eastAsia="ja-JP"/>
        </w:rPr>
        <w:t>NICE</w:t>
      </w:r>
      <w:r w:rsidR="00574401" w:rsidRPr="00F46EF2">
        <w:rPr>
          <w:rFonts w:ascii="Times New Roman" w:eastAsia="ＭＳ Ｐ明朝" w:hAnsi="Times New Roman"/>
          <w:sz w:val="20"/>
          <w:szCs w:val="21"/>
          <w:lang w:eastAsia="ja-JP"/>
        </w:rPr>
        <w:t>）では、</w:t>
      </w:r>
      <w:r w:rsidRPr="00F46EF2">
        <w:rPr>
          <w:rFonts w:ascii="Times New Roman" w:eastAsia="ＭＳ Ｐ明朝" w:hAnsi="Times New Roman"/>
          <w:sz w:val="20"/>
          <w:szCs w:val="21"/>
          <w:lang w:eastAsia="ja-JP"/>
        </w:rPr>
        <w:t>健康状態の重症度の推定に</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不足の概念を用いている。しかし、重症度を定義するアプローチは、これらの</w:t>
      </w:r>
      <w:r w:rsidR="00DE52F6" w:rsidRPr="00F46EF2">
        <w:rPr>
          <w:rFonts w:ascii="Times New Roman" w:eastAsia="ＭＳ Ｐ明朝" w:hAnsi="Times New Roman"/>
          <w:sz w:val="20"/>
          <w:szCs w:val="21"/>
          <w:lang w:eastAsia="ja-JP"/>
        </w:rPr>
        <w:t>法域で異なっている</w:t>
      </w:r>
      <w:r w:rsidRPr="00F46EF2">
        <w:rPr>
          <w:rFonts w:ascii="Times New Roman" w:eastAsia="ＭＳ Ｐ明朝" w:hAnsi="Times New Roman"/>
          <w:sz w:val="20"/>
          <w:szCs w:val="21"/>
          <w:lang w:eastAsia="ja-JP"/>
        </w:rPr>
        <w:t>。</w:t>
      </w:r>
    </w:p>
    <w:p w14:paraId="2D197BC3" w14:textId="77777777" w:rsidR="00FF745D" w:rsidRPr="00F46EF2" w:rsidRDefault="00000000">
      <w:pPr>
        <w:pStyle w:val="a3"/>
        <w:numPr>
          <w:ilvl w:val="1"/>
          <w:numId w:val="33"/>
        </w:numPr>
        <w:ind w:left="426" w:hanging="357"/>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絶対的不足量（</w:t>
      </w:r>
      <w:r w:rsidRPr="00F46EF2">
        <w:rPr>
          <w:rFonts w:ascii="Times New Roman" w:eastAsia="ＭＳ Ｐ明朝" w:hAnsi="Times New Roman"/>
          <w:sz w:val="20"/>
          <w:szCs w:val="21"/>
          <w:lang w:eastAsia="ja-JP"/>
        </w:rPr>
        <w:t>AS</w:t>
      </w:r>
      <w:r w:rsidRPr="00F46EF2">
        <w:rPr>
          <w:rFonts w:ascii="Times New Roman" w:eastAsia="ＭＳ Ｐ明朝" w:hAnsi="Times New Roman"/>
          <w:sz w:val="20"/>
          <w:szCs w:val="21"/>
          <w:lang w:eastAsia="ja-JP"/>
        </w:rPr>
        <w:t>）スコア：特定の疾患を有する個人が失う将来の</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数を表す。このアプローチを用いると、若い患者集団の方が、平均して失う可能性のある将来の</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数が多いことになる。その結果、若年集団に影響を及ぼす慢性疾患は、主に高齢集団に影響を及ぼす重篤な急性疾患と比較して、</w:t>
      </w:r>
      <w:r w:rsidRPr="00F46EF2">
        <w:rPr>
          <w:rFonts w:ascii="Times New Roman" w:eastAsia="ＭＳ Ｐ明朝" w:hAnsi="Times New Roman"/>
          <w:sz w:val="20"/>
          <w:szCs w:val="21"/>
          <w:lang w:eastAsia="ja-JP"/>
        </w:rPr>
        <w:t>AS</w:t>
      </w:r>
      <w:r w:rsidRPr="00F46EF2">
        <w:rPr>
          <w:rFonts w:ascii="Times New Roman" w:eastAsia="ＭＳ Ｐ明朝" w:hAnsi="Times New Roman"/>
          <w:sz w:val="20"/>
          <w:szCs w:val="21"/>
          <w:lang w:eastAsia="ja-JP"/>
        </w:rPr>
        <w:t>スコアが高くなる可能性がある。</w:t>
      </w:r>
    </w:p>
    <w:p w14:paraId="45ADA368" w14:textId="77777777" w:rsidR="00FF745D" w:rsidRPr="00F46EF2" w:rsidRDefault="00000000">
      <w:pPr>
        <w:pStyle w:val="a3"/>
        <w:numPr>
          <w:ilvl w:val="1"/>
          <w:numId w:val="33"/>
        </w:numPr>
        <w:ind w:left="426" w:hanging="357"/>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比例不足（</w:t>
      </w:r>
      <w:r w:rsidRPr="00F46EF2">
        <w:rPr>
          <w:rFonts w:ascii="Times New Roman" w:eastAsia="ＭＳ Ｐ明朝" w:hAnsi="Times New Roman"/>
          <w:sz w:val="20"/>
          <w:szCs w:val="21"/>
          <w:lang w:eastAsia="ja-JP"/>
        </w:rPr>
        <w:t>PS</w:t>
      </w:r>
      <w:r w:rsidRPr="00F46EF2">
        <w:rPr>
          <w:rFonts w:ascii="Times New Roman" w:eastAsia="ＭＳ Ｐ明朝" w:hAnsi="Times New Roman"/>
          <w:sz w:val="20"/>
          <w:szCs w:val="21"/>
          <w:lang w:eastAsia="ja-JP"/>
        </w:rPr>
        <w:t>）スコア：疾患とともに生きる個人が失う将来の</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の割合を表す。終末期に近い高齢の患者集団は、平均して潜在的な</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が相対的に少ない。その結果、重症化によって失われる</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の割合が高くなり、</w:t>
      </w:r>
      <w:r w:rsidRPr="00F46EF2">
        <w:rPr>
          <w:rFonts w:ascii="Times New Roman" w:eastAsia="ＭＳ Ｐ明朝" w:hAnsi="Times New Roman"/>
          <w:sz w:val="20"/>
          <w:szCs w:val="21"/>
          <w:lang w:eastAsia="ja-JP"/>
        </w:rPr>
        <w:t>PS</w:t>
      </w:r>
      <w:r w:rsidRPr="00F46EF2">
        <w:rPr>
          <w:rFonts w:ascii="Times New Roman" w:eastAsia="ＭＳ Ｐ明朝" w:hAnsi="Times New Roman"/>
          <w:sz w:val="20"/>
          <w:szCs w:val="21"/>
          <w:lang w:eastAsia="ja-JP"/>
        </w:rPr>
        <w:t>スコアが平均的に高くなる。</w:t>
      </w:r>
    </w:p>
    <w:p w14:paraId="6A634685" w14:textId="77777777" w:rsidR="00156C9E" w:rsidRPr="00693D5C" w:rsidRDefault="00156C9E" w:rsidP="00156C9E">
      <w:pPr>
        <w:pStyle w:val="af8"/>
        <w:numPr>
          <w:ilvl w:val="0"/>
          <w:numId w:val="33"/>
        </w:numPr>
      </w:pPr>
      <w:r w:rsidRPr="00693D5C">
        <w:t xml:space="preserve">Table </w:t>
      </w:r>
      <w:r>
        <w:fldChar w:fldCharType="begin"/>
      </w:r>
      <w:r>
        <w:instrText xml:space="preserve"> SEQ Table \* ARABIC </w:instrText>
      </w:r>
      <w:r>
        <w:fldChar w:fldCharType="separate"/>
      </w:r>
      <w:r>
        <w:rPr>
          <w:noProof/>
        </w:rPr>
        <w:t>4</w:t>
      </w:r>
      <w:r>
        <w:rPr>
          <w:noProof/>
        </w:rPr>
        <w:fldChar w:fldCharType="end"/>
      </w:r>
      <w:r w:rsidRPr="00693D5C">
        <w:tab/>
        <w:t>Comparison of QALY weighting across the Netherlands (ZIN), Norway (NIPH/</w:t>
      </w:r>
      <w:proofErr w:type="spellStart"/>
      <w:r w:rsidRPr="00693D5C">
        <w:t>NoMA</w:t>
      </w:r>
      <w:proofErr w:type="spellEnd"/>
      <w:r w:rsidRPr="00693D5C">
        <w:t>) and England and Wales (NICE)</w:t>
      </w:r>
    </w:p>
    <w:tbl>
      <w:tblPr>
        <w:tblStyle w:val="af2"/>
        <w:tblW w:w="5000" w:type="pct"/>
        <w:tblLook w:val="04A0" w:firstRow="1" w:lastRow="0" w:firstColumn="1" w:lastColumn="0" w:noHBand="0" w:noVBand="1"/>
        <w:tblCaption w:val="Comparison of QALY weighting across the Netherlands (ZIN), Norway (NIPH/NoMA) and England and Wales (NICE "/>
      </w:tblPr>
      <w:tblGrid>
        <w:gridCol w:w="2396"/>
        <w:gridCol w:w="1165"/>
        <w:gridCol w:w="1087"/>
        <w:gridCol w:w="1087"/>
        <w:gridCol w:w="1149"/>
        <w:gridCol w:w="1087"/>
        <w:gridCol w:w="1089"/>
      </w:tblGrid>
      <w:tr w:rsidR="00156C9E" w:rsidRPr="00693D5C" w14:paraId="45EE0D35" w14:textId="77777777" w:rsidTr="00634CA1">
        <w:trPr>
          <w:tblHeader/>
        </w:trPr>
        <w:tc>
          <w:tcPr>
            <w:tcW w:w="1322" w:type="pct"/>
            <w:tcBorders>
              <w:bottom w:val="nil"/>
            </w:tcBorders>
          </w:tcPr>
          <w:p w14:paraId="7D955A7E" w14:textId="77777777" w:rsidR="00156C9E" w:rsidRPr="00693D5C" w:rsidRDefault="00156C9E" w:rsidP="00634CA1">
            <w:pPr>
              <w:rPr>
                <w:b/>
                <w:bCs/>
              </w:rPr>
            </w:pPr>
            <w:r w:rsidRPr="00693D5C">
              <w:rPr>
                <w:b/>
                <w:bCs/>
              </w:rPr>
              <w:t>Criteria</w:t>
            </w:r>
          </w:p>
        </w:tc>
        <w:tc>
          <w:tcPr>
            <w:tcW w:w="1243" w:type="pct"/>
            <w:gridSpan w:val="2"/>
          </w:tcPr>
          <w:p w14:paraId="65BD8F7A" w14:textId="77777777" w:rsidR="00156C9E" w:rsidRPr="00693D5C" w:rsidRDefault="00156C9E" w:rsidP="00634CA1">
            <w:pPr>
              <w:ind w:left="-71" w:right="-106"/>
              <w:jc w:val="center"/>
              <w:rPr>
                <w:b/>
                <w:bCs/>
              </w:rPr>
            </w:pPr>
            <w:r w:rsidRPr="00693D5C">
              <w:rPr>
                <w:b/>
                <w:bCs/>
              </w:rPr>
              <w:t>Netherlands (ZIN)</w:t>
            </w:r>
          </w:p>
        </w:tc>
        <w:tc>
          <w:tcPr>
            <w:tcW w:w="1234" w:type="pct"/>
            <w:gridSpan w:val="2"/>
          </w:tcPr>
          <w:p w14:paraId="34363754" w14:textId="77777777" w:rsidR="00156C9E" w:rsidRPr="00693D5C" w:rsidRDefault="00156C9E" w:rsidP="00634CA1">
            <w:pPr>
              <w:ind w:left="-71" w:right="-106"/>
              <w:jc w:val="center"/>
              <w:rPr>
                <w:b/>
                <w:bCs/>
              </w:rPr>
            </w:pPr>
            <w:r w:rsidRPr="00693D5C">
              <w:rPr>
                <w:b/>
                <w:bCs/>
              </w:rPr>
              <w:t>Norway (NIPH/</w:t>
            </w:r>
            <w:proofErr w:type="spellStart"/>
            <w:r w:rsidRPr="00693D5C">
              <w:rPr>
                <w:b/>
                <w:bCs/>
              </w:rPr>
              <w:t>NoMA</w:t>
            </w:r>
            <w:proofErr w:type="spellEnd"/>
            <w:r w:rsidRPr="00693D5C">
              <w:rPr>
                <w:b/>
                <w:bCs/>
              </w:rPr>
              <w:t>)</w:t>
            </w:r>
          </w:p>
        </w:tc>
        <w:tc>
          <w:tcPr>
            <w:tcW w:w="1201" w:type="pct"/>
            <w:gridSpan w:val="2"/>
          </w:tcPr>
          <w:p w14:paraId="1EF55C99" w14:textId="77777777" w:rsidR="00156C9E" w:rsidRPr="00693D5C" w:rsidRDefault="00156C9E" w:rsidP="00634CA1">
            <w:pPr>
              <w:ind w:left="-71" w:right="-106"/>
              <w:jc w:val="center"/>
              <w:rPr>
                <w:b/>
                <w:bCs/>
              </w:rPr>
            </w:pPr>
            <w:r w:rsidRPr="00693D5C">
              <w:rPr>
                <w:b/>
                <w:bCs/>
              </w:rPr>
              <w:t>England and Wales (NICE)</w:t>
            </w:r>
          </w:p>
        </w:tc>
      </w:tr>
      <w:tr w:rsidR="00156C9E" w:rsidRPr="00693D5C" w14:paraId="4FB66E74" w14:textId="77777777" w:rsidTr="00634CA1">
        <w:trPr>
          <w:tblHeader/>
        </w:trPr>
        <w:tc>
          <w:tcPr>
            <w:tcW w:w="1322" w:type="pct"/>
            <w:tcBorders>
              <w:top w:val="nil"/>
              <w:bottom w:val="single" w:sz="4" w:space="0" w:color="auto"/>
            </w:tcBorders>
          </w:tcPr>
          <w:p w14:paraId="587D89DC" w14:textId="77777777" w:rsidR="00156C9E" w:rsidRPr="00693D5C" w:rsidRDefault="00156C9E" w:rsidP="00634CA1">
            <w:pPr>
              <w:rPr>
                <w:b/>
                <w:bCs/>
              </w:rPr>
            </w:pPr>
          </w:p>
        </w:tc>
        <w:tc>
          <w:tcPr>
            <w:tcW w:w="643" w:type="pct"/>
            <w:tcBorders>
              <w:bottom w:val="single" w:sz="4" w:space="0" w:color="auto"/>
            </w:tcBorders>
          </w:tcPr>
          <w:p w14:paraId="631EB46E" w14:textId="77777777" w:rsidR="00156C9E" w:rsidRPr="00693D5C" w:rsidRDefault="00156C9E" w:rsidP="00634CA1">
            <w:pPr>
              <w:ind w:left="-71" w:right="-106"/>
              <w:jc w:val="center"/>
              <w:rPr>
                <w:b/>
                <w:bCs/>
              </w:rPr>
            </w:pPr>
            <w:r w:rsidRPr="00693D5C">
              <w:rPr>
                <w:b/>
                <w:bCs/>
              </w:rPr>
              <w:t>Proportional Shortfall (PS) (QALY)</w:t>
            </w:r>
          </w:p>
        </w:tc>
        <w:tc>
          <w:tcPr>
            <w:tcW w:w="600" w:type="pct"/>
            <w:tcBorders>
              <w:bottom w:val="single" w:sz="4" w:space="0" w:color="auto"/>
            </w:tcBorders>
          </w:tcPr>
          <w:p w14:paraId="2BFCD54D" w14:textId="77777777" w:rsidR="00156C9E" w:rsidRPr="00693D5C" w:rsidRDefault="00156C9E" w:rsidP="00634CA1">
            <w:pPr>
              <w:ind w:left="-71" w:right="-106"/>
              <w:jc w:val="center"/>
              <w:rPr>
                <w:b/>
                <w:bCs/>
              </w:rPr>
            </w:pPr>
            <w:r w:rsidRPr="00693D5C">
              <w:rPr>
                <w:b/>
                <w:bCs/>
              </w:rPr>
              <w:t>Threshold (€/QALY)</w:t>
            </w:r>
          </w:p>
        </w:tc>
        <w:tc>
          <w:tcPr>
            <w:tcW w:w="600" w:type="pct"/>
            <w:tcBorders>
              <w:bottom w:val="single" w:sz="4" w:space="0" w:color="auto"/>
            </w:tcBorders>
          </w:tcPr>
          <w:p w14:paraId="1D8FAFAF" w14:textId="77777777" w:rsidR="00156C9E" w:rsidRPr="00693D5C" w:rsidRDefault="00156C9E" w:rsidP="00634CA1">
            <w:pPr>
              <w:ind w:left="-71" w:right="-106"/>
              <w:jc w:val="center"/>
              <w:rPr>
                <w:b/>
                <w:bCs/>
              </w:rPr>
            </w:pPr>
            <w:r w:rsidRPr="00693D5C">
              <w:rPr>
                <w:b/>
                <w:bCs/>
              </w:rPr>
              <w:t>Absolute Shortfall (AS) (QALY)</w:t>
            </w:r>
          </w:p>
        </w:tc>
        <w:tc>
          <w:tcPr>
            <w:tcW w:w="633" w:type="pct"/>
            <w:tcBorders>
              <w:bottom w:val="single" w:sz="4" w:space="0" w:color="auto"/>
            </w:tcBorders>
          </w:tcPr>
          <w:p w14:paraId="2C5395B5" w14:textId="77777777" w:rsidR="00156C9E" w:rsidRPr="00693D5C" w:rsidRDefault="00156C9E" w:rsidP="00634CA1">
            <w:pPr>
              <w:ind w:left="-71" w:right="-106"/>
              <w:jc w:val="center"/>
              <w:rPr>
                <w:b/>
                <w:bCs/>
              </w:rPr>
            </w:pPr>
            <w:r w:rsidRPr="00693D5C">
              <w:rPr>
                <w:b/>
                <w:bCs/>
              </w:rPr>
              <w:t>Threshold (NOK/QALY)</w:t>
            </w:r>
          </w:p>
        </w:tc>
        <w:tc>
          <w:tcPr>
            <w:tcW w:w="600" w:type="pct"/>
            <w:tcBorders>
              <w:bottom w:val="single" w:sz="4" w:space="0" w:color="auto"/>
            </w:tcBorders>
          </w:tcPr>
          <w:p w14:paraId="1DA2FF06" w14:textId="77777777" w:rsidR="00156C9E" w:rsidRPr="00693D5C" w:rsidRDefault="00156C9E" w:rsidP="00634CA1">
            <w:pPr>
              <w:ind w:left="-71" w:right="-106"/>
              <w:jc w:val="center"/>
              <w:rPr>
                <w:b/>
                <w:bCs/>
              </w:rPr>
            </w:pPr>
            <w:r w:rsidRPr="00693D5C">
              <w:rPr>
                <w:b/>
                <w:bCs/>
              </w:rPr>
              <w:t xml:space="preserve">Shortfall </w:t>
            </w:r>
            <w:r w:rsidRPr="00693D5C">
              <w:rPr>
                <w:b/>
                <w:bCs/>
              </w:rPr>
              <w:br/>
              <w:t>(PS and AS) (QALY)</w:t>
            </w:r>
          </w:p>
        </w:tc>
        <w:tc>
          <w:tcPr>
            <w:tcW w:w="600" w:type="pct"/>
            <w:tcBorders>
              <w:bottom w:val="single" w:sz="4" w:space="0" w:color="auto"/>
            </w:tcBorders>
          </w:tcPr>
          <w:p w14:paraId="111E3A7C" w14:textId="77777777" w:rsidR="00156C9E" w:rsidRPr="00693D5C" w:rsidRDefault="00156C9E" w:rsidP="00634CA1">
            <w:pPr>
              <w:ind w:left="-71" w:right="-106"/>
              <w:jc w:val="center"/>
              <w:rPr>
                <w:b/>
                <w:bCs/>
              </w:rPr>
            </w:pPr>
            <w:r w:rsidRPr="00693D5C">
              <w:rPr>
                <w:b/>
                <w:bCs/>
              </w:rPr>
              <w:t>QALY weight</w:t>
            </w:r>
          </w:p>
        </w:tc>
      </w:tr>
      <w:tr w:rsidR="00156C9E" w:rsidRPr="00693D5C" w14:paraId="6F3788EB" w14:textId="77777777" w:rsidTr="00634CA1">
        <w:tc>
          <w:tcPr>
            <w:tcW w:w="1322" w:type="pct"/>
            <w:tcBorders>
              <w:bottom w:val="single" w:sz="4" w:space="0" w:color="auto"/>
              <w:right w:val="nil"/>
            </w:tcBorders>
          </w:tcPr>
          <w:p w14:paraId="24B835F4" w14:textId="77777777" w:rsidR="00156C9E" w:rsidRPr="00693D5C" w:rsidRDefault="00156C9E" w:rsidP="00634CA1">
            <w:r w:rsidRPr="00693D5C">
              <w:t>Proportional Shortfall</w:t>
            </w:r>
          </w:p>
        </w:tc>
        <w:tc>
          <w:tcPr>
            <w:tcW w:w="643" w:type="pct"/>
            <w:tcBorders>
              <w:left w:val="nil"/>
              <w:bottom w:val="single" w:sz="4" w:space="0" w:color="auto"/>
              <w:right w:val="nil"/>
            </w:tcBorders>
          </w:tcPr>
          <w:p w14:paraId="49FA9500"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2D330628"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197FE840" w14:textId="77777777" w:rsidR="00156C9E" w:rsidRPr="00693D5C" w:rsidRDefault="00156C9E" w:rsidP="00634CA1">
            <w:pPr>
              <w:ind w:left="-71" w:right="-106"/>
              <w:jc w:val="center"/>
            </w:pPr>
          </w:p>
        </w:tc>
        <w:tc>
          <w:tcPr>
            <w:tcW w:w="633" w:type="pct"/>
            <w:tcBorders>
              <w:left w:val="nil"/>
              <w:bottom w:val="single" w:sz="4" w:space="0" w:color="auto"/>
              <w:right w:val="nil"/>
            </w:tcBorders>
          </w:tcPr>
          <w:p w14:paraId="5AFDB02C"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515C686B" w14:textId="77777777" w:rsidR="00156C9E" w:rsidRPr="00693D5C" w:rsidRDefault="00156C9E" w:rsidP="00634CA1">
            <w:pPr>
              <w:ind w:left="-71" w:right="-106"/>
              <w:jc w:val="center"/>
            </w:pPr>
          </w:p>
        </w:tc>
        <w:tc>
          <w:tcPr>
            <w:tcW w:w="600" w:type="pct"/>
            <w:tcBorders>
              <w:left w:val="nil"/>
              <w:bottom w:val="single" w:sz="4" w:space="0" w:color="auto"/>
            </w:tcBorders>
          </w:tcPr>
          <w:p w14:paraId="611EA1F1" w14:textId="77777777" w:rsidR="00156C9E" w:rsidRPr="00693D5C" w:rsidRDefault="00156C9E" w:rsidP="00634CA1">
            <w:pPr>
              <w:ind w:left="-71" w:right="-106"/>
              <w:jc w:val="center"/>
            </w:pPr>
          </w:p>
        </w:tc>
      </w:tr>
      <w:tr w:rsidR="00156C9E" w:rsidRPr="00693D5C" w14:paraId="4F25B4C0" w14:textId="77777777" w:rsidTr="00634CA1">
        <w:tc>
          <w:tcPr>
            <w:tcW w:w="1322" w:type="pct"/>
            <w:tcBorders>
              <w:bottom w:val="nil"/>
              <w:right w:val="single" w:sz="4" w:space="0" w:color="auto"/>
            </w:tcBorders>
          </w:tcPr>
          <w:p w14:paraId="408C8E91" w14:textId="77777777" w:rsidR="00156C9E" w:rsidRPr="00693D5C" w:rsidRDefault="00156C9E" w:rsidP="00634CA1">
            <w:pPr>
              <w:ind w:left="270"/>
            </w:pPr>
            <w:r w:rsidRPr="00693D5C">
              <w:t>Low</w:t>
            </w:r>
          </w:p>
        </w:tc>
        <w:tc>
          <w:tcPr>
            <w:tcW w:w="643" w:type="pct"/>
            <w:tcBorders>
              <w:left w:val="single" w:sz="4" w:space="0" w:color="auto"/>
              <w:bottom w:val="nil"/>
              <w:right w:val="single" w:sz="4" w:space="0" w:color="auto"/>
            </w:tcBorders>
          </w:tcPr>
          <w:p w14:paraId="6B46196E" w14:textId="77777777" w:rsidR="00156C9E" w:rsidRPr="00693D5C" w:rsidRDefault="00156C9E" w:rsidP="00634CA1">
            <w:pPr>
              <w:ind w:left="-71" w:right="-106"/>
              <w:jc w:val="center"/>
            </w:pPr>
            <w:r w:rsidRPr="00693D5C">
              <w:t>0.1–- 0.4</w:t>
            </w:r>
          </w:p>
        </w:tc>
        <w:tc>
          <w:tcPr>
            <w:tcW w:w="600" w:type="pct"/>
            <w:tcBorders>
              <w:left w:val="single" w:sz="4" w:space="0" w:color="auto"/>
              <w:bottom w:val="nil"/>
              <w:right w:val="single" w:sz="4" w:space="0" w:color="auto"/>
            </w:tcBorders>
          </w:tcPr>
          <w:p w14:paraId="7B4A791C" w14:textId="77777777" w:rsidR="00156C9E" w:rsidRPr="00693D5C" w:rsidRDefault="00156C9E" w:rsidP="00634CA1">
            <w:pPr>
              <w:ind w:left="-71" w:right="-106"/>
              <w:jc w:val="center"/>
            </w:pPr>
            <w:r w:rsidRPr="00693D5C">
              <w:t>Up to 20,000</w:t>
            </w:r>
          </w:p>
        </w:tc>
        <w:tc>
          <w:tcPr>
            <w:tcW w:w="600" w:type="pct"/>
            <w:tcBorders>
              <w:left w:val="single" w:sz="4" w:space="0" w:color="auto"/>
              <w:bottom w:val="nil"/>
              <w:right w:val="single" w:sz="4" w:space="0" w:color="auto"/>
            </w:tcBorders>
          </w:tcPr>
          <w:p w14:paraId="73151397" w14:textId="77777777" w:rsidR="00156C9E" w:rsidRPr="00693D5C" w:rsidRDefault="00156C9E" w:rsidP="00634CA1">
            <w:pPr>
              <w:ind w:left="-71" w:right="-106"/>
              <w:jc w:val="center"/>
            </w:pPr>
          </w:p>
        </w:tc>
        <w:tc>
          <w:tcPr>
            <w:tcW w:w="633" w:type="pct"/>
            <w:tcBorders>
              <w:left w:val="single" w:sz="4" w:space="0" w:color="auto"/>
              <w:bottom w:val="nil"/>
              <w:right w:val="single" w:sz="4" w:space="0" w:color="auto"/>
            </w:tcBorders>
          </w:tcPr>
          <w:p w14:paraId="0A9D81C4" w14:textId="77777777" w:rsidR="00156C9E" w:rsidRPr="00693D5C" w:rsidRDefault="00156C9E" w:rsidP="00634CA1">
            <w:pPr>
              <w:ind w:left="-71" w:right="-106"/>
              <w:jc w:val="center"/>
            </w:pPr>
          </w:p>
        </w:tc>
        <w:tc>
          <w:tcPr>
            <w:tcW w:w="600" w:type="pct"/>
            <w:tcBorders>
              <w:left w:val="single" w:sz="4" w:space="0" w:color="auto"/>
              <w:bottom w:val="nil"/>
              <w:right w:val="single" w:sz="4" w:space="0" w:color="auto"/>
            </w:tcBorders>
          </w:tcPr>
          <w:p w14:paraId="5788040F" w14:textId="77777777" w:rsidR="00156C9E" w:rsidRPr="00693D5C" w:rsidRDefault="00156C9E" w:rsidP="00634CA1">
            <w:pPr>
              <w:ind w:left="-71" w:right="-106"/>
              <w:jc w:val="center"/>
            </w:pPr>
            <w:r w:rsidRPr="00693D5C">
              <w:t>&lt;0.85</w:t>
            </w:r>
          </w:p>
        </w:tc>
        <w:tc>
          <w:tcPr>
            <w:tcW w:w="600" w:type="pct"/>
            <w:tcBorders>
              <w:left w:val="single" w:sz="4" w:space="0" w:color="auto"/>
              <w:bottom w:val="nil"/>
            </w:tcBorders>
          </w:tcPr>
          <w:p w14:paraId="181094B5" w14:textId="77777777" w:rsidR="00156C9E" w:rsidRPr="00693D5C" w:rsidRDefault="00156C9E" w:rsidP="00634CA1">
            <w:pPr>
              <w:ind w:left="-71" w:right="-106"/>
              <w:jc w:val="center"/>
            </w:pPr>
            <w:r w:rsidRPr="00693D5C">
              <w:t>x1</w:t>
            </w:r>
          </w:p>
        </w:tc>
      </w:tr>
      <w:tr w:rsidR="00156C9E" w:rsidRPr="00693D5C" w14:paraId="72CC6F26" w14:textId="77777777" w:rsidTr="00634CA1">
        <w:tc>
          <w:tcPr>
            <w:tcW w:w="1322" w:type="pct"/>
            <w:tcBorders>
              <w:top w:val="nil"/>
              <w:bottom w:val="nil"/>
              <w:right w:val="single" w:sz="4" w:space="0" w:color="auto"/>
            </w:tcBorders>
            <w:hideMark/>
          </w:tcPr>
          <w:p w14:paraId="74941126" w14:textId="77777777" w:rsidR="00156C9E" w:rsidRPr="00693D5C" w:rsidRDefault="00156C9E" w:rsidP="00634CA1">
            <w:pPr>
              <w:ind w:left="270"/>
            </w:pPr>
            <w:r w:rsidRPr="00693D5C">
              <w:t>Medium</w:t>
            </w:r>
          </w:p>
        </w:tc>
        <w:tc>
          <w:tcPr>
            <w:tcW w:w="643" w:type="pct"/>
            <w:tcBorders>
              <w:top w:val="nil"/>
              <w:left w:val="single" w:sz="4" w:space="0" w:color="auto"/>
              <w:bottom w:val="nil"/>
              <w:right w:val="single" w:sz="4" w:space="0" w:color="auto"/>
            </w:tcBorders>
            <w:hideMark/>
          </w:tcPr>
          <w:p w14:paraId="6F62D21E" w14:textId="77777777" w:rsidR="00156C9E" w:rsidRPr="00693D5C" w:rsidRDefault="00156C9E" w:rsidP="00634CA1">
            <w:pPr>
              <w:ind w:left="-71" w:right="-106"/>
              <w:jc w:val="center"/>
            </w:pPr>
            <w:r w:rsidRPr="00693D5C">
              <w:t>0.41–- 0.7</w:t>
            </w:r>
          </w:p>
        </w:tc>
        <w:tc>
          <w:tcPr>
            <w:tcW w:w="600" w:type="pct"/>
            <w:tcBorders>
              <w:top w:val="nil"/>
              <w:left w:val="single" w:sz="4" w:space="0" w:color="auto"/>
              <w:bottom w:val="nil"/>
              <w:right w:val="single" w:sz="4" w:space="0" w:color="auto"/>
            </w:tcBorders>
          </w:tcPr>
          <w:p w14:paraId="3D23B7B8" w14:textId="77777777" w:rsidR="00156C9E" w:rsidRPr="00693D5C" w:rsidRDefault="00156C9E" w:rsidP="00634CA1">
            <w:pPr>
              <w:ind w:left="-71" w:right="-106"/>
              <w:jc w:val="center"/>
            </w:pPr>
            <w:r w:rsidRPr="00693D5C">
              <w:t>Up to 50,000</w:t>
            </w:r>
          </w:p>
        </w:tc>
        <w:tc>
          <w:tcPr>
            <w:tcW w:w="600" w:type="pct"/>
            <w:tcBorders>
              <w:top w:val="nil"/>
              <w:left w:val="single" w:sz="4" w:space="0" w:color="auto"/>
              <w:bottom w:val="nil"/>
              <w:right w:val="single" w:sz="4" w:space="0" w:color="auto"/>
            </w:tcBorders>
          </w:tcPr>
          <w:p w14:paraId="1E4BDA33" w14:textId="77777777" w:rsidR="00156C9E" w:rsidRPr="00693D5C" w:rsidRDefault="00156C9E" w:rsidP="00634CA1">
            <w:pPr>
              <w:ind w:left="-71" w:right="-106"/>
              <w:jc w:val="center"/>
            </w:pPr>
          </w:p>
        </w:tc>
        <w:tc>
          <w:tcPr>
            <w:tcW w:w="633" w:type="pct"/>
            <w:tcBorders>
              <w:top w:val="nil"/>
              <w:left w:val="single" w:sz="4" w:space="0" w:color="auto"/>
              <w:bottom w:val="nil"/>
              <w:right w:val="single" w:sz="4" w:space="0" w:color="auto"/>
            </w:tcBorders>
          </w:tcPr>
          <w:p w14:paraId="5EFE8D86" w14:textId="77777777" w:rsidR="00156C9E" w:rsidRPr="00693D5C" w:rsidRDefault="00156C9E" w:rsidP="00634CA1">
            <w:pPr>
              <w:ind w:left="-71" w:right="-106"/>
              <w:jc w:val="center"/>
            </w:pPr>
          </w:p>
        </w:tc>
        <w:tc>
          <w:tcPr>
            <w:tcW w:w="600" w:type="pct"/>
            <w:tcBorders>
              <w:top w:val="nil"/>
              <w:left w:val="single" w:sz="4" w:space="0" w:color="auto"/>
              <w:bottom w:val="nil"/>
              <w:right w:val="single" w:sz="4" w:space="0" w:color="auto"/>
            </w:tcBorders>
            <w:hideMark/>
          </w:tcPr>
          <w:p w14:paraId="668833F4" w14:textId="77777777" w:rsidR="00156C9E" w:rsidRPr="00693D5C" w:rsidRDefault="00156C9E" w:rsidP="00634CA1">
            <w:pPr>
              <w:ind w:left="-71" w:right="-106"/>
              <w:jc w:val="center"/>
            </w:pPr>
            <w:r w:rsidRPr="00693D5C">
              <w:t>0.85–- 0.95</w:t>
            </w:r>
          </w:p>
        </w:tc>
        <w:tc>
          <w:tcPr>
            <w:tcW w:w="600" w:type="pct"/>
            <w:tcBorders>
              <w:top w:val="nil"/>
              <w:left w:val="single" w:sz="4" w:space="0" w:color="auto"/>
              <w:bottom w:val="nil"/>
            </w:tcBorders>
          </w:tcPr>
          <w:p w14:paraId="123E1586" w14:textId="77777777" w:rsidR="00156C9E" w:rsidRPr="00693D5C" w:rsidRDefault="00156C9E" w:rsidP="00634CA1">
            <w:pPr>
              <w:ind w:left="-71" w:right="-106"/>
              <w:jc w:val="center"/>
            </w:pPr>
            <w:r w:rsidRPr="00693D5C">
              <w:t>x1.2</w:t>
            </w:r>
          </w:p>
        </w:tc>
      </w:tr>
      <w:tr w:rsidR="00156C9E" w:rsidRPr="00693D5C" w14:paraId="136BF6DE" w14:textId="77777777" w:rsidTr="00634CA1">
        <w:tc>
          <w:tcPr>
            <w:tcW w:w="1322" w:type="pct"/>
            <w:tcBorders>
              <w:top w:val="nil"/>
              <w:bottom w:val="single" w:sz="4" w:space="0" w:color="auto"/>
              <w:right w:val="single" w:sz="4" w:space="0" w:color="auto"/>
            </w:tcBorders>
            <w:hideMark/>
          </w:tcPr>
          <w:p w14:paraId="27D0EADC" w14:textId="77777777" w:rsidR="00156C9E" w:rsidRPr="00693D5C" w:rsidRDefault="00156C9E" w:rsidP="00634CA1">
            <w:pPr>
              <w:ind w:left="270"/>
            </w:pPr>
            <w:r w:rsidRPr="00693D5C">
              <w:t>High</w:t>
            </w:r>
          </w:p>
        </w:tc>
        <w:tc>
          <w:tcPr>
            <w:tcW w:w="643" w:type="pct"/>
            <w:tcBorders>
              <w:top w:val="nil"/>
              <w:left w:val="single" w:sz="4" w:space="0" w:color="auto"/>
              <w:bottom w:val="single" w:sz="4" w:space="0" w:color="auto"/>
              <w:right w:val="single" w:sz="4" w:space="0" w:color="auto"/>
            </w:tcBorders>
            <w:hideMark/>
          </w:tcPr>
          <w:p w14:paraId="14CEBCB0" w14:textId="77777777" w:rsidR="00156C9E" w:rsidRPr="00693D5C" w:rsidRDefault="00156C9E" w:rsidP="00634CA1">
            <w:pPr>
              <w:ind w:left="-71" w:right="-106"/>
              <w:jc w:val="center"/>
            </w:pPr>
            <w:r w:rsidRPr="00693D5C">
              <w:t>&gt;0.71</w:t>
            </w:r>
          </w:p>
        </w:tc>
        <w:tc>
          <w:tcPr>
            <w:tcW w:w="600" w:type="pct"/>
            <w:tcBorders>
              <w:top w:val="nil"/>
              <w:left w:val="single" w:sz="4" w:space="0" w:color="auto"/>
              <w:bottom w:val="single" w:sz="4" w:space="0" w:color="auto"/>
              <w:right w:val="single" w:sz="4" w:space="0" w:color="auto"/>
            </w:tcBorders>
          </w:tcPr>
          <w:p w14:paraId="5A295958" w14:textId="77777777" w:rsidR="00156C9E" w:rsidRPr="00693D5C" w:rsidRDefault="00156C9E" w:rsidP="00634CA1">
            <w:pPr>
              <w:ind w:left="-71" w:right="-106"/>
              <w:jc w:val="center"/>
            </w:pPr>
            <w:r w:rsidRPr="00693D5C">
              <w:t>Up to 80,000</w:t>
            </w:r>
          </w:p>
        </w:tc>
        <w:tc>
          <w:tcPr>
            <w:tcW w:w="600" w:type="pct"/>
            <w:tcBorders>
              <w:top w:val="nil"/>
              <w:left w:val="single" w:sz="4" w:space="0" w:color="auto"/>
              <w:bottom w:val="single" w:sz="4" w:space="0" w:color="auto"/>
              <w:right w:val="single" w:sz="4" w:space="0" w:color="auto"/>
            </w:tcBorders>
          </w:tcPr>
          <w:p w14:paraId="7F5561A7" w14:textId="77777777" w:rsidR="00156C9E" w:rsidRPr="00693D5C" w:rsidRDefault="00156C9E" w:rsidP="00634CA1">
            <w:pPr>
              <w:ind w:left="-71" w:right="-106"/>
              <w:jc w:val="center"/>
            </w:pPr>
          </w:p>
        </w:tc>
        <w:tc>
          <w:tcPr>
            <w:tcW w:w="633" w:type="pct"/>
            <w:tcBorders>
              <w:top w:val="nil"/>
              <w:left w:val="single" w:sz="4" w:space="0" w:color="auto"/>
              <w:bottom w:val="single" w:sz="4" w:space="0" w:color="auto"/>
              <w:right w:val="single" w:sz="4" w:space="0" w:color="auto"/>
            </w:tcBorders>
          </w:tcPr>
          <w:p w14:paraId="099037F6" w14:textId="77777777" w:rsidR="00156C9E" w:rsidRPr="00693D5C" w:rsidRDefault="00156C9E" w:rsidP="00634CA1">
            <w:pPr>
              <w:ind w:left="-71" w:right="-106"/>
              <w:jc w:val="center"/>
            </w:pPr>
          </w:p>
        </w:tc>
        <w:tc>
          <w:tcPr>
            <w:tcW w:w="600" w:type="pct"/>
            <w:tcBorders>
              <w:top w:val="nil"/>
              <w:left w:val="single" w:sz="4" w:space="0" w:color="auto"/>
              <w:bottom w:val="single" w:sz="4" w:space="0" w:color="auto"/>
              <w:right w:val="single" w:sz="4" w:space="0" w:color="auto"/>
            </w:tcBorders>
            <w:hideMark/>
          </w:tcPr>
          <w:p w14:paraId="7CBF883E" w14:textId="77777777" w:rsidR="00156C9E" w:rsidRPr="00693D5C" w:rsidRDefault="00156C9E" w:rsidP="00634CA1">
            <w:pPr>
              <w:ind w:left="-71" w:right="-106"/>
              <w:jc w:val="center"/>
            </w:pPr>
            <w:r w:rsidRPr="00693D5C">
              <w:t>&gt;0.95</w:t>
            </w:r>
          </w:p>
        </w:tc>
        <w:tc>
          <w:tcPr>
            <w:tcW w:w="600" w:type="pct"/>
            <w:tcBorders>
              <w:top w:val="nil"/>
              <w:left w:val="single" w:sz="4" w:space="0" w:color="auto"/>
              <w:bottom w:val="single" w:sz="4" w:space="0" w:color="auto"/>
            </w:tcBorders>
          </w:tcPr>
          <w:p w14:paraId="5ADAB559" w14:textId="77777777" w:rsidR="00156C9E" w:rsidRPr="00693D5C" w:rsidRDefault="00156C9E" w:rsidP="00634CA1">
            <w:pPr>
              <w:ind w:left="-71" w:right="-106"/>
              <w:jc w:val="center"/>
            </w:pPr>
            <w:r w:rsidRPr="00693D5C">
              <w:t>x1.7</w:t>
            </w:r>
          </w:p>
        </w:tc>
      </w:tr>
      <w:tr w:rsidR="00156C9E" w:rsidRPr="00693D5C" w14:paraId="204AC9BC" w14:textId="77777777" w:rsidTr="00634CA1">
        <w:tc>
          <w:tcPr>
            <w:tcW w:w="1322" w:type="pct"/>
            <w:tcBorders>
              <w:bottom w:val="single" w:sz="4" w:space="0" w:color="auto"/>
              <w:right w:val="nil"/>
            </w:tcBorders>
          </w:tcPr>
          <w:p w14:paraId="2FEA6CD4" w14:textId="77777777" w:rsidR="00156C9E" w:rsidRPr="00693D5C" w:rsidRDefault="00156C9E" w:rsidP="00634CA1">
            <w:r w:rsidRPr="00693D5C">
              <w:t>Absolute Shortfall</w:t>
            </w:r>
          </w:p>
        </w:tc>
        <w:tc>
          <w:tcPr>
            <w:tcW w:w="643" w:type="pct"/>
            <w:tcBorders>
              <w:left w:val="nil"/>
              <w:bottom w:val="single" w:sz="4" w:space="0" w:color="auto"/>
              <w:right w:val="nil"/>
            </w:tcBorders>
          </w:tcPr>
          <w:p w14:paraId="4F5DD41C"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5D9F20DE"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3CBCD7AA" w14:textId="77777777" w:rsidR="00156C9E" w:rsidRPr="00693D5C" w:rsidRDefault="00156C9E" w:rsidP="00634CA1">
            <w:pPr>
              <w:ind w:left="-71" w:right="-106"/>
              <w:jc w:val="center"/>
            </w:pPr>
          </w:p>
        </w:tc>
        <w:tc>
          <w:tcPr>
            <w:tcW w:w="633" w:type="pct"/>
            <w:tcBorders>
              <w:left w:val="nil"/>
              <w:bottom w:val="single" w:sz="4" w:space="0" w:color="auto"/>
              <w:right w:val="nil"/>
            </w:tcBorders>
          </w:tcPr>
          <w:p w14:paraId="33AA67A1" w14:textId="77777777" w:rsidR="00156C9E" w:rsidRPr="00693D5C" w:rsidRDefault="00156C9E" w:rsidP="00634CA1">
            <w:pPr>
              <w:ind w:left="-71" w:right="-106"/>
              <w:jc w:val="center"/>
            </w:pPr>
          </w:p>
        </w:tc>
        <w:tc>
          <w:tcPr>
            <w:tcW w:w="600" w:type="pct"/>
            <w:tcBorders>
              <w:left w:val="nil"/>
              <w:bottom w:val="single" w:sz="4" w:space="0" w:color="auto"/>
              <w:right w:val="nil"/>
            </w:tcBorders>
          </w:tcPr>
          <w:p w14:paraId="2B566148" w14:textId="77777777" w:rsidR="00156C9E" w:rsidRPr="00693D5C" w:rsidRDefault="00156C9E" w:rsidP="00634CA1">
            <w:pPr>
              <w:ind w:left="-71" w:right="-106"/>
              <w:jc w:val="center"/>
            </w:pPr>
          </w:p>
        </w:tc>
        <w:tc>
          <w:tcPr>
            <w:tcW w:w="600" w:type="pct"/>
            <w:tcBorders>
              <w:left w:val="nil"/>
              <w:bottom w:val="single" w:sz="4" w:space="0" w:color="auto"/>
            </w:tcBorders>
          </w:tcPr>
          <w:p w14:paraId="2BDEE02C" w14:textId="77777777" w:rsidR="00156C9E" w:rsidRPr="00693D5C" w:rsidRDefault="00156C9E" w:rsidP="00634CA1">
            <w:pPr>
              <w:ind w:left="-71" w:right="-106"/>
              <w:jc w:val="center"/>
            </w:pPr>
          </w:p>
        </w:tc>
      </w:tr>
      <w:tr w:rsidR="00156C9E" w:rsidRPr="00693D5C" w14:paraId="5EB312DD" w14:textId="77777777" w:rsidTr="00634CA1">
        <w:tc>
          <w:tcPr>
            <w:tcW w:w="1322" w:type="pct"/>
            <w:tcBorders>
              <w:bottom w:val="nil"/>
              <w:right w:val="single" w:sz="4" w:space="0" w:color="auto"/>
            </w:tcBorders>
          </w:tcPr>
          <w:p w14:paraId="7029EB4A" w14:textId="77777777" w:rsidR="00156C9E" w:rsidRPr="00693D5C" w:rsidRDefault="00156C9E" w:rsidP="00634CA1">
            <w:pPr>
              <w:ind w:left="270"/>
            </w:pPr>
            <w:r w:rsidRPr="00693D5C">
              <w:t>Low</w:t>
            </w:r>
          </w:p>
        </w:tc>
        <w:tc>
          <w:tcPr>
            <w:tcW w:w="643" w:type="pct"/>
            <w:tcBorders>
              <w:left w:val="single" w:sz="4" w:space="0" w:color="auto"/>
              <w:bottom w:val="nil"/>
              <w:right w:val="single" w:sz="4" w:space="0" w:color="auto"/>
            </w:tcBorders>
          </w:tcPr>
          <w:p w14:paraId="1334665A" w14:textId="77777777" w:rsidR="00156C9E" w:rsidRPr="00693D5C" w:rsidRDefault="00156C9E" w:rsidP="00634CA1">
            <w:pPr>
              <w:ind w:left="-71" w:right="-106"/>
              <w:jc w:val="center"/>
            </w:pPr>
          </w:p>
        </w:tc>
        <w:tc>
          <w:tcPr>
            <w:tcW w:w="600" w:type="pct"/>
            <w:tcBorders>
              <w:left w:val="single" w:sz="4" w:space="0" w:color="auto"/>
              <w:bottom w:val="nil"/>
              <w:right w:val="single" w:sz="4" w:space="0" w:color="auto"/>
            </w:tcBorders>
          </w:tcPr>
          <w:p w14:paraId="5C4756E5" w14:textId="77777777" w:rsidR="00156C9E" w:rsidRPr="00693D5C" w:rsidRDefault="00156C9E" w:rsidP="00634CA1">
            <w:pPr>
              <w:ind w:left="-71" w:right="-106"/>
              <w:jc w:val="center"/>
            </w:pPr>
          </w:p>
        </w:tc>
        <w:tc>
          <w:tcPr>
            <w:tcW w:w="600" w:type="pct"/>
            <w:tcBorders>
              <w:left w:val="single" w:sz="4" w:space="0" w:color="auto"/>
              <w:bottom w:val="nil"/>
              <w:right w:val="single" w:sz="4" w:space="0" w:color="auto"/>
            </w:tcBorders>
          </w:tcPr>
          <w:p w14:paraId="37DD84FB" w14:textId="77777777" w:rsidR="00156C9E" w:rsidRPr="00693D5C" w:rsidRDefault="00156C9E" w:rsidP="00634CA1">
            <w:pPr>
              <w:ind w:left="-71" w:right="-106"/>
              <w:jc w:val="center"/>
            </w:pPr>
            <w:r w:rsidRPr="00693D5C">
              <w:t>0– 15</w:t>
            </w:r>
          </w:p>
        </w:tc>
        <w:tc>
          <w:tcPr>
            <w:tcW w:w="633" w:type="pct"/>
            <w:tcBorders>
              <w:left w:val="single" w:sz="4" w:space="0" w:color="auto"/>
              <w:bottom w:val="nil"/>
              <w:right w:val="single" w:sz="4" w:space="0" w:color="auto"/>
            </w:tcBorders>
          </w:tcPr>
          <w:p w14:paraId="48435957" w14:textId="77777777" w:rsidR="00156C9E" w:rsidRPr="00693D5C" w:rsidRDefault="00156C9E" w:rsidP="00634CA1">
            <w:pPr>
              <w:ind w:left="-71" w:right="-106"/>
              <w:jc w:val="center"/>
            </w:pPr>
            <w:r w:rsidRPr="00693D5C">
              <w:t>&lt;250,000</w:t>
            </w:r>
          </w:p>
        </w:tc>
        <w:tc>
          <w:tcPr>
            <w:tcW w:w="600" w:type="pct"/>
            <w:tcBorders>
              <w:left w:val="single" w:sz="4" w:space="0" w:color="auto"/>
              <w:bottom w:val="nil"/>
              <w:right w:val="single" w:sz="4" w:space="0" w:color="auto"/>
            </w:tcBorders>
          </w:tcPr>
          <w:p w14:paraId="5AC7355F" w14:textId="77777777" w:rsidR="00156C9E" w:rsidRPr="00693D5C" w:rsidRDefault="00156C9E" w:rsidP="00634CA1">
            <w:pPr>
              <w:ind w:left="-71" w:right="-106"/>
              <w:jc w:val="center"/>
            </w:pPr>
            <w:r w:rsidRPr="00693D5C">
              <w:t>&lt;12</w:t>
            </w:r>
          </w:p>
        </w:tc>
        <w:tc>
          <w:tcPr>
            <w:tcW w:w="600" w:type="pct"/>
            <w:tcBorders>
              <w:left w:val="single" w:sz="4" w:space="0" w:color="auto"/>
              <w:bottom w:val="nil"/>
            </w:tcBorders>
          </w:tcPr>
          <w:p w14:paraId="27576464" w14:textId="77777777" w:rsidR="00156C9E" w:rsidRPr="00693D5C" w:rsidRDefault="00156C9E" w:rsidP="00634CA1">
            <w:pPr>
              <w:ind w:left="-71" w:right="-106"/>
              <w:jc w:val="center"/>
            </w:pPr>
            <w:r w:rsidRPr="00693D5C">
              <w:t>x1</w:t>
            </w:r>
          </w:p>
        </w:tc>
      </w:tr>
      <w:tr w:rsidR="00156C9E" w:rsidRPr="00693D5C" w14:paraId="6D646657" w14:textId="77777777" w:rsidTr="00634CA1">
        <w:tc>
          <w:tcPr>
            <w:tcW w:w="1322" w:type="pct"/>
            <w:tcBorders>
              <w:top w:val="nil"/>
              <w:bottom w:val="nil"/>
              <w:right w:val="single" w:sz="4" w:space="0" w:color="auto"/>
            </w:tcBorders>
          </w:tcPr>
          <w:p w14:paraId="16E78D84" w14:textId="77777777" w:rsidR="00156C9E" w:rsidRPr="00693D5C" w:rsidRDefault="00156C9E" w:rsidP="00634CA1">
            <w:pPr>
              <w:ind w:left="270"/>
            </w:pPr>
            <w:r w:rsidRPr="00693D5C">
              <w:t>Medium</w:t>
            </w:r>
          </w:p>
        </w:tc>
        <w:tc>
          <w:tcPr>
            <w:tcW w:w="643" w:type="pct"/>
            <w:tcBorders>
              <w:top w:val="nil"/>
              <w:left w:val="single" w:sz="4" w:space="0" w:color="auto"/>
              <w:bottom w:val="nil"/>
              <w:right w:val="single" w:sz="4" w:space="0" w:color="auto"/>
            </w:tcBorders>
          </w:tcPr>
          <w:p w14:paraId="4C2CC3A4" w14:textId="77777777" w:rsidR="00156C9E" w:rsidRPr="00693D5C" w:rsidRDefault="00156C9E" w:rsidP="00634CA1">
            <w:pPr>
              <w:ind w:left="-71" w:right="-106"/>
              <w:jc w:val="center"/>
            </w:pPr>
          </w:p>
        </w:tc>
        <w:tc>
          <w:tcPr>
            <w:tcW w:w="600" w:type="pct"/>
            <w:tcBorders>
              <w:top w:val="nil"/>
              <w:left w:val="single" w:sz="4" w:space="0" w:color="auto"/>
              <w:bottom w:val="nil"/>
              <w:right w:val="single" w:sz="4" w:space="0" w:color="auto"/>
            </w:tcBorders>
          </w:tcPr>
          <w:p w14:paraId="6C5A3761" w14:textId="77777777" w:rsidR="00156C9E" w:rsidRPr="00693D5C" w:rsidRDefault="00156C9E" w:rsidP="00634CA1">
            <w:pPr>
              <w:ind w:left="-71" w:right="-106"/>
              <w:jc w:val="center"/>
            </w:pPr>
          </w:p>
        </w:tc>
        <w:tc>
          <w:tcPr>
            <w:tcW w:w="600" w:type="pct"/>
            <w:tcBorders>
              <w:top w:val="nil"/>
              <w:left w:val="single" w:sz="4" w:space="0" w:color="auto"/>
              <w:bottom w:val="nil"/>
              <w:right w:val="single" w:sz="4" w:space="0" w:color="auto"/>
            </w:tcBorders>
          </w:tcPr>
          <w:p w14:paraId="5C0B650B" w14:textId="77777777" w:rsidR="00156C9E" w:rsidRPr="00693D5C" w:rsidRDefault="00156C9E" w:rsidP="00634CA1">
            <w:pPr>
              <w:ind w:left="-71" w:right="-106"/>
              <w:jc w:val="center"/>
            </w:pPr>
            <w:r w:rsidRPr="00693D5C">
              <w:t>16– 30</w:t>
            </w:r>
          </w:p>
        </w:tc>
        <w:tc>
          <w:tcPr>
            <w:tcW w:w="633" w:type="pct"/>
            <w:tcBorders>
              <w:top w:val="nil"/>
              <w:left w:val="single" w:sz="4" w:space="0" w:color="auto"/>
              <w:bottom w:val="nil"/>
              <w:right w:val="single" w:sz="4" w:space="0" w:color="auto"/>
            </w:tcBorders>
          </w:tcPr>
          <w:p w14:paraId="3C304AE9" w14:textId="77777777" w:rsidR="00156C9E" w:rsidRPr="00693D5C" w:rsidRDefault="00156C9E" w:rsidP="00634CA1">
            <w:pPr>
              <w:ind w:left="-71" w:right="-106"/>
              <w:jc w:val="center"/>
            </w:pPr>
            <w:r w:rsidRPr="00693D5C">
              <w:t>&lt;500,000</w:t>
            </w:r>
          </w:p>
        </w:tc>
        <w:tc>
          <w:tcPr>
            <w:tcW w:w="600" w:type="pct"/>
            <w:tcBorders>
              <w:top w:val="nil"/>
              <w:left w:val="single" w:sz="4" w:space="0" w:color="auto"/>
              <w:bottom w:val="nil"/>
              <w:right w:val="single" w:sz="4" w:space="0" w:color="auto"/>
            </w:tcBorders>
          </w:tcPr>
          <w:p w14:paraId="23B6A669" w14:textId="77777777" w:rsidR="00156C9E" w:rsidRPr="00693D5C" w:rsidRDefault="00156C9E" w:rsidP="00634CA1">
            <w:pPr>
              <w:ind w:left="-71" w:right="-106"/>
              <w:jc w:val="center"/>
            </w:pPr>
            <w:r w:rsidRPr="00693D5C">
              <w:t>12 – 18</w:t>
            </w:r>
          </w:p>
        </w:tc>
        <w:tc>
          <w:tcPr>
            <w:tcW w:w="600" w:type="pct"/>
            <w:tcBorders>
              <w:top w:val="nil"/>
              <w:left w:val="single" w:sz="4" w:space="0" w:color="auto"/>
              <w:bottom w:val="nil"/>
            </w:tcBorders>
          </w:tcPr>
          <w:p w14:paraId="311AD4D9" w14:textId="77777777" w:rsidR="00156C9E" w:rsidRPr="00693D5C" w:rsidRDefault="00156C9E" w:rsidP="00634CA1">
            <w:pPr>
              <w:ind w:left="-71" w:right="-106"/>
              <w:jc w:val="center"/>
            </w:pPr>
            <w:r w:rsidRPr="00693D5C">
              <w:t>x1.2</w:t>
            </w:r>
          </w:p>
        </w:tc>
      </w:tr>
      <w:tr w:rsidR="00156C9E" w:rsidRPr="00693D5C" w14:paraId="44AA6D87" w14:textId="77777777" w:rsidTr="00634CA1">
        <w:tc>
          <w:tcPr>
            <w:tcW w:w="1322" w:type="pct"/>
            <w:tcBorders>
              <w:top w:val="nil"/>
              <w:right w:val="single" w:sz="4" w:space="0" w:color="auto"/>
            </w:tcBorders>
          </w:tcPr>
          <w:p w14:paraId="3FB70BD2" w14:textId="77777777" w:rsidR="00156C9E" w:rsidRPr="00693D5C" w:rsidRDefault="00156C9E" w:rsidP="00634CA1">
            <w:pPr>
              <w:ind w:left="270"/>
            </w:pPr>
            <w:r w:rsidRPr="00693D5C">
              <w:t>High</w:t>
            </w:r>
          </w:p>
        </w:tc>
        <w:tc>
          <w:tcPr>
            <w:tcW w:w="643" w:type="pct"/>
            <w:tcBorders>
              <w:top w:val="nil"/>
              <w:left w:val="single" w:sz="4" w:space="0" w:color="auto"/>
              <w:right w:val="single" w:sz="4" w:space="0" w:color="auto"/>
            </w:tcBorders>
          </w:tcPr>
          <w:p w14:paraId="6C4D46A3" w14:textId="77777777" w:rsidR="00156C9E" w:rsidRPr="00693D5C" w:rsidRDefault="00156C9E" w:rsidP="00634CA1">
            <w:pPr>
              <w:ind w:left="-71" w:right="-106"/>
              <w:jc w:val="center"/>
            </w:pPr>
          </w:p>
        </w:tc>
        <w:tc>
          <w:tcPr>
            <w:tcW w:w="600" w:type="pct"/>
            <w:tcBorders>
              <w:top w:val="nil"/>
              <w:left w:val="single" w:sz="4" w:space="0" w:color="auto"/>
              <w:right w:val="single" w:sz="4" w:space="0" w:color="auto"/>
            </w:tcBorders>
          </w:tcPr>
          <w:p w14:paraId="6B9BC2C3" w14:textId="77777777" w:rsidR="00156C9E" w:rsidRPr="00693D5C" w:rsidRDefault="00156C9E" w:rsidP="00634CA1">
            <w:pPr>
              <w:ind w:left="-71" w:right="-106"/>
              <w:jc w:val="center"/>
            </w:pPr>
          </w:p>
        </w:tc>
        <w:tc>
          <w:tcPr>
            <w:tcW w:w="600" w:type="pct"/>
            <w:tcBorders>
              <w:top w:val="nil"/>
              <w:left w:val="single" w:sz="4" w:space="0" w:color="auto"/>
              <w:right w:val="single" w:sz="4" w:space="0" w:color="auto"/>
            </w:tcBorders>
          </w:tcPr>
          <w:p w14:paraId="518BB43E" w14:textId="77777777" w:rsidR="00156C9E" w:rsidRPr="00693D5C" w:rsidRDefault="00156C9E" w:rsidP="00634CA1">
            <w:pPr>
              <w:ind w:left="-71" w:right="-106"/>
              <w:jc w:val="center"/>
            </w:pPr>
            <w:r w:rsidRPr="00693D5C">
              <w:t>31– 45</w:t>
            </w:r>
          </w:p>
        </w:tc>
        <w:tc>
          <w:tcPr>
            <w:tcW w:w="633" w:type="pct"/>
            <w:tcBorders>
              <w:top w:val="nil"/>
              <w:left w:val="single" w:sz="4" w:space="0" w:color="auto"/>
              <w:right w:val="single" w:sz="4" w:space="0" w:color="auto"/>
            </w:tcBorders>
          </w:tcPr>
          <w:p w14:paraId="778E7CAC" w14:textId="77777777" w:rsidR="00156C9E" w:rsidRPr="00693D5C" w:rsidRDefault="00156C9E" w:rsidP="00634CA1">
            <w:pPr>
              <w:ind w:left="-71" w:right="-106"/>
              <w:jc w:val="center"/>
            </w:pPr>
            <w:r w:rsidRPr="00693D5C">
              <w:t>&lt;750,000</w:t>
            </w:r>
          </w:p>
        </w:tc>
        <w:tc>
          <w:tcPr>
            <w:tcW w:w="600" w:type="pct"/>
            <w:tcBorders>
              <w:top w:val="nil"/>
              <w:left w:val="single" w:sz="4" w:space="0" w:color="auto"/>
              <w:right w:val="single" w:sz="4" w:space="0" w:color="auto"/>
            </w:tcBorders>
          </w:tcPr>
          <w:p w14:paraId="3051BDA2" w14:textId="77777777" w:rsidR="00156C9E" w:rsidRPr="00693D5C" w:rsidRDefault="00156C9E" w:rsidP="00634CA1">
            <w:pPr>
              <w:ind w:left="-71" w:right="-106"/>
              <w:jc w:val="center"/>
            </w:pPr>
            <w:r w:rsidRPr="00693D5C">
              <w:t>≥18</w:t>
            </w:r>
          </w:p>
        </w:tc>
        <w:tc>
          <w:tcPr>
            <w:tcW w:w="600" w:type="pct"/>
            <w:tcBorders>
              <w:top w:val="nil"/>
              <w:left w:val="single" w:sz="4" w:space="0" w:color="auto"/>
            </w:tcBorders>
          </w:tcPr>
          <w:p w14:paraId="4AE4C019" w14:textId="77777777" w:rsidR="00156C9E" w:rsidRPr="00693D5C" w:rsidRDefault="00156C9E" w:rsidP="00634CA1">
            <w:pPr>
              <w:ind w:left="-71" w:right="-106"/>
              <w:jc w:val="center"/>
            </w:pPr>
            <w:r w:rsidRPr="00693D5C">
              <w:t>x1.7</w:t>
            </w:r>
          </w:p>
        </w:tc>
      </w:tr>
    </w:tbl>
    <w:p w14:paraId="068216C4"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18"/>
          <w:lang w:eastAsia="ja-JP"/>
        </w:rPr>
      </w:pPr>
      <w:r w:rsidRPr="00156C9E">
        <w:rPr>
          <w:rFonts w:ascii="Times New Roman" w:eastAsia="ＭＳ Ｐ明朝" w:hAnsi="Times New Roman" w:cs="Times New Roman"/>
          <w:sz w:val="18"/>
          <w:szCs w:val="18"/>
          <w:lang w:eastAsia="ja-JP"/>
        </w:rPr>
        <w:t>出典医薬品の単一技術評価（</w:t>
      </w:r>
      <w:r w:rsidRPr="00156C9E">
        <w:rPr>
          <w:rFonts w:ascii="Times New Roman" w:eastAsia="ＭＳ Ｐ明朝" w:hAnsi="Times New Roman" w:cs="Times New Roman"/>
          <w:sz w:val="18"/>
          <w:szCs w:val="18"/>
          <w:lang w:eastAsia="ja-JP"/>
        </w:rPr>
        <w:t>STA</w:t>
      </w:r>
      <w:r w:rsidRPr="00156C9E">
        <w:rPr>
          <w:rFonts w:ascii="Times New Roman" w:eastAsia="ＭＳ Ｐ明朝" w:hAnsi="Times New Roman" w:cs="Times New Roman"/>
          <w:sz w:val="18"/>
          <w:szCs w:val="18"/>
          <w:lang w:eastAsia="ja-JP"/>
        </w:rPr>
        <w:t>）のための文書提出のためのガイドライン。</w:t>
      </w:r>
      <w:r w:rsidRPr="00156C9E">
        <w:rPr>
          <w:rFonts w:ascii="Times New Roman" w:eastAsia="ＭＳ Ｐ明朝" w:hAnsi="Times New Roman" w:cs="Times New Roman"/>
          <w:sz w:val="18"/>
          <w:szCs w:val="18"/>
          <w:lang w:eastAsia="ja-JP"/>
        </w:rPr>
        <w:t>2018.NoMA, Norway; Guideline for economic evaluations in healthcare.2016.ZIN</w:t>
      </w:r>
      <w:r w:rsidRPr="00156C9E">
        <w:rPr>
          <w:rFonts w:ascii="Times New Roman" w:eastAsia="ＭＳ Ｐ明朝" w:hAnsi="Times New Roman" w:cs="Times New Roman"/>
          <w:sz w:val="18"/>
          <w:szCs w:val="18"/>
          <w:lang w:eastAsia="ja-JP"/>
        </w:rPr>
        <w:t>（オランダ）、</w:t>
      </w:r>
      <w:r w:rsidRPr="00156C9E">
        <w:rPr>
          <w:rFonts w:ascii="Times New Roman" w:eastAsia="ＭＳ Ｐ明朝" w:hAnsi="Times New Roman" w:cs="Times New Roman"/>
          <w:sz w:val="18"/>
          <w:szCs w:val="18"/>
          <w:lang w:eastAsia="ja-JP"/>
        </w:rPr>
        <w:t>NICE</w:t>
      </w:r>
      <w:r w:rsidRPr="00156C9E">
        <w:rPr>
          <w:rFonts w:ascii="Times New Roman" w:eastAsia="ＭＳ Ｐ明朝" w:hAnsi="Times New Roman" w:cs="Times New Roman"/>
          <w:sz w:val="18"/>
          <w:szCs w:val="18"/>
          <w:lang w:eastAsia="ja-JP"/>
        </w:rPr>
        <w:t>医療技術評価：マニュアル。プロセスと方法。</w:t>
      </w:r>
      <w:r w:rsidRPr="00156C9E">
        <w:rPr>
          <w:rFonts w:ascii="Times New Roman" w:eastAsia="ＭＳ Ｐ明朝" w:hAnsi="Times New Roman" w:cs="Times New Roman"/>
          <w:sz w:val="18"/>
          <w:szCs w:val="18"/>
          <w:lang w:eastAsia="ja-JP"/>
        </w:rPr>
        <w:t>2022.</w:t>
      </w:r>
    </w:p>
    <w:p w14:paraId="70042C32" w14:textId="77777777" w:rsidR="00156C9E" w:rsidRDefault="00156C9E">
      <w:pPr>
        <w:pStyle w:val="a3"/>
        <w:rPr>
          <w:rFonts w:ascii="Times New Roman" w:eastAsia="ＭＳ Ｐ明朝" w:hAnsi="Times New Roman"/>
          <w:sz w:val="20"/>
          <w:szCs w:val="21"/>
          <w:lang w:eastAsia="ja-JP"/>
        </w:rPr>
      </w:pPr>
    </w:p>
    <w:p w14:paraId="47B01B9E" w14:textId="3F2B024D"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スウェーデンでは、人間の尊厳原則の影響により、</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のアプローチは</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不足分を用いることに依存しておらず、</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は明確な費用対効果の閾値を持っていない。</w:t>
      </w:r>
      <w:r w:rsidRPr="00F46EF2">
        <w:rPr>
          <w:rFonts w:ascii="Times New Roman" w:eastAsia="ＭＳ Ｐ明朝" w:hAnsi="Times New Roman"/>
          <w:sz w:val="20"/>
          <w:szCs w:val="21"/>
          <w:lang w:eastAsia="ja-JP"/>
        </w:rPr>
        <w:t>Barra</w:t>
      </w:r>
      <w:r w:rsidRPr="00F46EF2">
        <w:rPr>
          <w:rFonts w:ascii="Times New Roman" w:eastAsia="ＭＳ Ｐ明朝" w:hAnsi="Times New Roman"/>
          <w:sz w:val="20"/>
          <w:szCs w:val="21"/>
          <w:lang w:eastAsia="ja-JP"/>
        </w:rPr>
        <w:t>らによるレビュー</w:t>
      </w:r>
      <w:r w:rsidRPr="00F46EF2">
        <w:rPr>
          <w:rFonts w:ascii="Times New Roman" w:eastAsia="ＭＳ Ｐ明朝" w:hAnsi="Times New Roman"/>
          <w:sz w:val="20"/>
          <w:szCs w:val="21"/>
          <w:lang w:eastAsia="ja-JP"/>
        </w:rPr>
        <w:t xml:space="preserve"> </w:t>
      </w:r>
      <w:r w:rsidR="00DF5CD2" w:rsidRPr="00F46EF2">
        <w:rPr>
          <w:rFonts w:ascii="Times New Roman" w:eastAsia="ＭＳ Ｐ明朝" w:hAnsi="Times New Roman"/>
          <w:sz w:val="20"/>
          <w:szCs w:val="21"/>
        </w:rPr>
        <w:fldChar w:fldCharType="begin">
          <w:fldData xml:space="preserve">PEVuZE5vdGU+PENpdGU+PEF1dGhvcj5CYXJyYTwvQXV0aG9yPjxZZWFyPjIwMjA8L1llYXI+PFJl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PEVuZE5vdGU+PENpdGU+PEF1dGhvcj5CYXJyYTwvQXV0aG9yPjxZZWFyPjIwMjA8L1llYXI+PFJl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00DF5CD2" w:rsidRPr="00F46EF2">
        <w:rPr>
          <w:rFonts w:ascii="Times New Roman" w:eastAsia="ＭＳ Ｐ明朝" w:hAnsi="Times New Roman"/>
          <w:sz w:val="20"/>
          <w:szCs w:val="21"/>
        </w:rPr>
      </w:r>
      <w:r w:rsidR="00DF5CD2"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[26]</w:t>
      </w:r>
      <w:r w:rsidR="00DF5CD2" w:rsidRPr="00F46EF2">
        <w:rPr>
          <w:rFonts w:ascii="Times New Roman" w:eastAsia="ＭＳ Ｐ明朝" w:hAnsi="Times New Roman"/>
          <w:sz w:val="20"/>
          <w:szCs w:val="21"/>
        </w:rPr>
        <w:fldChar w:fldCharType="end"/>
      </w:r>
      <w:proofErr w:type="spellStart"/>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が、病態の重症度に基づいて、より高い費用対効果閾値で医薬品を承認していることを示した</w:t>
      </w:r>
      <w:proofErr w:type="spellEnd"/>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565DE01" w14:textId="77777777" w:rsidR="00156C9E" w:rsidRPr="00F46EF2" w:rsidRDefault="00156C9E">
      <w:pPr>
        <w:pStyle w:val="a3"/>
        <w:rPr>
          <w:rFonts w:ascii="Times New Roman" w:eastAsia="ＭＳ Ｐ明朝" w:hAnsi="Times New Roman"/>
          <w:sz w:val="20"/>
          <w:szCs w:val="21"/>
          <w:lang w:eastAsia="ja-JP"/>
        </w:rPr>
      </w:pPr>
    </w:p>
    <w:p w14:paraId="4A206200" w14:textId="77777777" w:rsidR="00FF745D" w:rsidRPr="00F46EF2" w:rsidRDefault="00000000">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意思決定プロセスにおける柔軟性</w:t>
      </w:r>
      <w:proofErr w:type="spellEnd"/>
    </w:p>
    <w:p w14:paraId="575C7F87"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重み付けされた結果の使用は、選好の集計プロセスを単純化することができるが、より柔軟な意思</w:t>
      </w:r>
      <w:r w:rsidR="00131BD2" w:rsidRPr="00F46EF2">
        <w:rPr>
          <w:rFonts w:ascii="Times New Roman" w:eastAsia="ＭＳ Ｐ明朝" w:hAnsi="Times New Roman"/>
          <w:sz w:val="20"/>
          <w:szCs w:val="21"/>
          <w:lang w:eastAsia="ja-JP"/>
        </w:rPr>
        <w:t>決定</w:t>
      </w:r>
      <w:r w:rsidRPr="00F46EF2">
        <w:rPr>
          <w:rFonts w:ascii="Times New Roman" w:eastAsia="ＭＳ Ｐ明朝" w:hAnsi="Times New Roman"/>
          <w:sz w:val="20"/>
          <w:szCs w:val="21"/>
          <w:lang w:eastAsia="ja-JP"/>
        </w:rPr>
        <w:t>プロセスを用いて考慮できる他の要因を見落とす危険性がある。</w:t>
      </w:r>
      <w:r w:rsidR="00EE0D6D" w:rsidRPr="00F46EF2">
        <w:rPr>
          <w:rFonts w:ascii="Times New Roman" w:eastAsia="ＭＳ Ｐ明朝" w:hAnsi="Times New Roman"/>
          <w:sz w:val="20"/>
          <w:szCs w:val="21"/>
          <w:lang w:eastAsia="ja-JP"/>
        </w:rPr>
        <w:t>柔軟な意思決定プロセスでは、</w:t>
      </w:r>
      <w:r w:rsidR="00AB7995" w:rsidRPr="00F46EF2">
        <w:rPr>
          <w:rFonts w:ascii="Times New Roman" w:eastAsia="ＭＳ Ｐ明朝" w:hAnsi="Times New Roman"/>
          <w:sz w:val="20"/>
          <w:szCs w:val="21"/>
          <w:lang w:eastAsia="ja-JP"/>
        </w:rPr>
        <w:t>定性的な検討を通じて、</w:t>
      </w:r>
      <w:r w:rsidR="00EE0D6D" w:rsidRPr="00F46EF2">
        <w:rPr>
          <w:rFonts w:ascii="Times New Roman" w:eastAsia="ＭＳ Ｐ明朝" w:hAnsi="Times New Roman"/>
          <w:sz w:val="20"/>
          <w:szCs w:val="21"/>
          <w:lang w:eastAsia="ja-JP"/>
        </w:rPr>
        <w:t>推定された健康アウトカム以外の様々な要因を考慮する</w:t>
      </w:r>
      <w:r w:rsidR="00510CAC" w:rsidRPr="00F46EF2">
        <w:rPr>
          <w:rFonts w:ascii="Times New Roman" w:eastAsia="ＭＳ Ｐ明朝" w:hAnsi="Times New Roman"/>
          <w:sz w:val="20"/>
          <w:szCs w:val="21"/>
          <w:lang w:eastAsia="ja-JP"/>
        </w:rPr>
        <w:t>ことができる。</w:t>
      </w:r>
      <w:r w:rsidRPr="00F46EF2">
        <w:rPr>
          <w:rFonts w:ascii="Times New Roman" w:eastAsia="ＭＳ Ｐ明朝" w:hAnsi="Times New Roman"/>
          <w:sz w:val="20"/>
          <w:szCs w:val="21"/>
          <w:lang w:eastAsia="ja-JP"/>
        </w:rPr>
        <w:t>このような意思決定の硬直性は、分配上の問題に適切に対処し、変化する状況に適応する能力を阻害する可能性がある。</w:t>
      </w:r>
      <w:r w:rsidR="00EB59D1" w:rsidRPr="00F46EF2">
        <w:rPr>
          <w:rFonts w:ascii="Times New Roman" w:eastAsia="ＭＳ Ｐ明朝" w:hAnsi="Times New Roman"/>
          <w:sz w:val="20"/>
          <w:szCs w:val="21"/>
          <w:lang w:eastAsia="ja-JP"/>
        </w:rPr>
        <w:t>厳密な</w:t>
      </w:r>
      <w:r w:rsidR="00EB59D1" w:rsidRPr="00F46EF2">
        <w:rPr>
          <w:rFonts w:ascii="Times New Roman" w:eastAsia="ＭＳ Ｐ明朝" w:hAnsi="Times New Roman"/>
          <w:sz w:val="20"/>
          <w:szCs w:val="21"/>
          <w:lang w:eastAsia="ja-JP"/>
        </w:rPr>
        <w:t>ICER</w:t>
      </w:r>
      <w:r w:rsidR="00EB59D1" w:rsidRPr="00F46EF2">
        <w:rPr>
          <w:rFonts w:ascii="Times New Roman" w:eastAsia="ＭＳ Ｐ明朝" w:hAnsi="Times New Roman"/>
          <w:sz w:val="20"/>
          <w:szCs w:val="21"/>
          <w:lang w:eastAsia="ja-JP"/>
        </w:rPr>
        <w:t>閾値を適用するシステムで示唆されるように）</w:t>
      </w:r>
      <w:r w:rsidRPr="00F46EF2">
        <w:rPr>
          <w:rFonts w:ascii="Times New Roman" w:eastAsia="ＭＳ Ｐ明朝" w:hAnsi="Times New Roman"/>
          <w:sz w:val="20"/>
          <w:szCs w:val="21"/>
          <w:lang w:eastAsia="ja-JP"/>
        </w:rPr>
        <w:t>意思決定プロセスにおいて</w:t>
      </w:r>
      <w:r w:rsidRPr="00F46EF2">
        <w:rPr>
          <w:rFonts w:ascii="Times New Roman" w:eastAsia="ＭＳ Ｐ明朝" w:hAnsi="Times New Roman"/>
          <w:sz w:val="20"/>
          <w:szCs w:val="21"/>
          <w:lang w:eastAsia="ja-JP"/>
        </w:rPr>
        <w:t>QALYs</w:t>
      </w:r>
      <w:r w:rsidRPr="00F46EF2">
        <w:rPr>
          <w:rFonts w:ascii="Times New Roman" w:eastAsia="ＭＳ Ｐ明朝" w:hAnsi="Times New Roman"/>
          <w:sz w:val="20"/>
          <w:szCs w:val="21"/>
          <w:lang w:eastAsia="ja-JP"/>
        </w:rPr>
        <w:t>にのみ依存することは、</w:t>
      </w:r>
      <w:r w:rsidR="00EE0D6D" w:rsidRPr="00F46EF2">
        <w:rPr>
          <w:rFonts w:ascii="Times New Roman" w:eastAsia="ＭＳ Ｐ明朝" w:hAnsi="Times New Roman"/>
          <w:sz w:val="20"/>
          <w:szCs w:val="21"/>
          <w:lang w:eastAsia="ja-JP"/>
        </w:rPr>
        <w:t>資源配分の決定において</w:t>
      </w:r>
      <w:r w:rsidRPr="00F46EF2">
        <w:rPr>
          <w:rFonts w:ascii="Times New Roman" w:eastAsia="ＭＳ Ｐ明朝" w:hAnsi="Times New Roman"/>
          <w:sz w:val="20"/>
          <w:szCs w:val="21"/>
          <w:lang w:eastAsia="ja-JP"/>
        </w:rPr>
        <w:t>重要な分配的検討を無視することになりかねない。</w:t>
      </w:r>
      <w:r w:rsidR="007B0C3A" w:rsidRPr="00F46EF2">
        <w:rPr>
          <w:rFonts w:ascii="Times New Roman" w:eastAsia="ＭＳ Ｐ明朝" w:hAnsi="Times New Roman"/>
          <w:sz w:val="20"/>
          <w:szCs w:val="21"/>
          <w:lang w:eastAsia="ja-JP"/>
        </w:rPr>
        <w:t>一部の国（オーストラリア、</w:t>
      </w:r>
      <w:r w:rsidR="007B0C3A" w:rsidRPr="00F46EF2">
        <w:rPr>
          <w:rFonts w:ascii="Times New Roman" w:eastAsia="ＭＳ Ｐ明朝" w:hAnsi="Times New Roman"/>
          <w:sz w:val="20"/>
          <w:szCs w:val="21"/>
          <w:lang w:eastAsia="ja-JP"/>
        </w:rPr>
        <w:t>PBAC</w:t>
      </w:r>
      <w:r w:rsidR="007B0C3A" w:rsidRPr="00F46EF2">
        <w:rPr>
          <w:rFonts w:ascii="Times New Roman" w:eastAsia="ＭＳ Ｐ明朝" w:hAnsi="Times New Roman"/>
          <w:sz w:val="20"/>
          <w:szCs w:val="21"/>
          <w:lang w:eastAsia="ja-JP"/>
        </w:rPr>
        <w:t>と</w:t>
      </w:r>
      <w:r w:rsidR="007B0C3A" w:rsidRPr="00F46EF2">
        <w:rPr>
          <w:rFonts w:ascii="Times New Roman" w:eastAsia="ＭＳ Ｐ明朝" w:hAnsi="Times New Roman"/>
          <w:sz w:val="20"/>
          <w:szCs w:val="21"/>
          <w:lang w:eastAsia="ja-JP"/>
        </w:rPr>
        <w:t>MSAC</w:t>
      </w:r>
      <w:r w:rsidR="007B0C3A" w:rsidRPr="00F46EF2">
        <w:rPr>
          <w:rFonts w:ascii="Times New Roman" w:eastAsia="ＭＳ Ｐ明朝" w:hAnsi="Times New Roman"/>
          <w:sz w:val="20"/>
          <w:szCs w:val="21"/>
          <w:lang w:eastAsia="ja-JP"/>
        </w:rPr>
        <w:t>、ニュージーランド、</w:t>
      </w:r>
      <w:r w:rsidR="007B0C3A" w:rsidRPr="00F46EF2">
        <w:rPr>
          <w:rFonts w:ascii="Times New Roman" w:eastAsia="ＭＳ Ｐ明朝" w:hAnsi="Times New Roman"/>
          <w:sz w:val="20"/>
          <w:szCs w:val="21"/>
          <w:lang w:eastAsia="ja-JP"/>
        </w:rPr>
        <w:t>PHARMAC</w:t>
      </w:r>
      <w:r w:rsidR="007B0C3A" w:rsidRPr="00F46EF2">
        <w:rPr>
          <w:rFonts w:ascii="Times New Roman" w:eastAsia="ＭＳ Ｐ明朝" w:hAnsi="Times New Roman"/>
          <w:sz w:val="20"/>
          <w:szCs w:val="21"/>
          <w:lang w:eastAsia="ja-JP"/>
        </w:rPr>
        <w:t>、</w:t>
      </w:r>
      <w:r w:rsidR="007B0C3A" w:rsidRPr="00F46EF2">
        <w:rPr>
          <w:rFonts w:ascii="Times New Roman" w:eastAsia="ＭＳ Ｐ明朝" w:hAnsi="Times New Roman"/>
          <w:sz w:val="20"/>
          <w:szCs w:val="21"/>
          <w:lang w:eastAsia="ja-JP"/>
        </w:rPr>
        <w:t xml:space="preserve"> </w:t>
      </w:r>
      <w:proofErr w:type="spellStart"/>
      <w:r w:rsidR="007B0C3A" w:rsidRPr="00F46EF2">
        <w:rPr>
          <w:rFonts w:ascii="Times New Roman" w:eastAsia="ＭＳ Ｐ明朝" w:hAnsi="Times New Roman"/>
          <w:sz w:val="20"/>
          <w:szCs w:val="21"/>
          <w:lang w:eastAsia="ja-JP"/>
        </w:rPr>
        <w:t>カナダ、</w:t>
      </w:r>
      <w:r w:rsidR="007B0C3A" w:rsidRPr="00F46EF2">
        <w:rPr>
          <w:rFonts w:ascii="Times New Roman" w:eastAsia="ＭＳ Ｐ明朝" w:hAnsi="Times New Roman"/>
          <w:sz w:val="20"/>
          <w:szCs w:val="21"/>
          <w:lang w:eastAsia="ja-JP"/>
        </w:rPr>
        <w:t>CADTH</w:t>
      </w:r>
      <w:r w:rsidR="007B0C3A" w:rsidRPr="00F46EF2">
        <w:rPr>
          <w:rFonts w:ascii="Times New Roman" w:eastAsia="ＭＳ Ｐ明朝" w:hAnsi="Times New Roman"/>
          <w:sz w:val="20"/>
          <w:szCs w:val="21"/>
          <w:lang w:eastAsia="ja-JP"/>
        </w:rPr>
        <w:t>）では、</w:t>
      </w:r>
      <w:r w:rsidR="007B0C3A" w:rsidRPr="00F46EF2">
        <w:rPr>
          <w:rFonts w:ascii="Times New Roman" w:eastAsia="ＭＳ Ｐ明朝" w:hAnsi="Times New Roman"/>
          <w:sz w:val="20"/>
          <w:szCs w:val="21"/>
          <w:lang w:eastAsia="ja-JP"/>
        </w:rPr>
        <w:t>QALYs</w:t>
      </w:r>
      <w:r w:rsidR="007B0C3A" w:rsidRPr="00F46EF2">
        <w:rPr>
          <w:rFonts w:ascii="Times New Roman" w:eastAsia="ＭＳ Ｐ明朝" w:hAnsi="Times New Roman"/>
          <w:sz w:val="20"/>
          <w:szCs w:val="21"/>
          <w:lang w:eastAsia="ja-JP"/>
        </w:rPr>
        <w:t>の使用と並行して質的審議が意思決定プロセスに組み</w:t>
      </w:r>
      <w:proofErr w:type="spellEnd"/>
      <w:r w:rsidR="007B0C3A" w:rsidRPr="00F46EF2">
        <w:rPr>
          <w:rFonts w:ascii="Times New Roman" w:eastAsia="ＭＳ Ｐ明朝" w:hAnsi="Times New Roman"/>
          <w:sz w:val="20"/>
          <w:szCs w:val="21"/>
          <w:lang w:eastAsia="ja-JP"/>
        </w:rPr>
        <w:t xml:space="preserve"> </w:t>
      </w:r>
      <w:proofErr w:type="spellStart"/>
      <w:r w:rsidR="007B0C3A" w:rsidRPr="00F46EF2">
        <w:rPr>
          <w:rFonts w:ascii="Times New Roman" w:eastAsia="ＭＳ Ｐ明朝" w:hAnsi="Times New Roman"/>
          <w:sz w:val="20"/>
          <w:szCs w:val="21"/>
          <w:lang w:eastAsia="ja-JP"/>
        </w:rPr>
        <w:t>込まれている。</w:t>
      </w:r>
      <w:r w:rsidR="007268D2" w:rsidRPr="00F46EF2">
        <w:rPr>
          <w:rFonts w:ascii="Times New Roman" w:eastAsia="ＭＳ Ｐ明朝" w:hAnsi="Times New Roman"/>
          <w:sz w:val="20"/>
          <w:szCs w:val="21"/>
          <w:lang w:eastAsia="ja-JP"/>
        </w:rPr>
        <w:t>しかし、定性的な審議は、これらの考慮事項の重みが透明でなく、意思決定に一貫性がないことを意味する場合がある</w:t>
      </w:r>
      <w:proofErr w:type="spellEnd"/>
      <w:r w:rsidR="00B31D4C" w:rsidRPr="00F46EF2">
        <w:rPr>
          <w:rFonts w:ascii="Times New Roman" w:eastAsia="ＭＳ Ｐ明朝" w:hAnsi="Times New Roman"/>
          <w:sz w:val="20"/>
          <w:szCs w:val="21"/>
          <w:lang w:eastAsia="ja-JP"/>
        </w:rPr>
        <w:t>。</w:t>
      </w:r>
      <w:r w:rsidR="00B31D4C" w:rsidRPr="00F46EF2">
        <w:rPr>
          <w:rFonts w:ascii="Times New Roman" w:eastAsia="ＭＳ Ｐ明朝" w:hAnsi="Times New Roman"/>
          <w:sz w:val="20"/>
          <w:szCs w:val="21"/>
          <w:lang w:eastAsia="ja-JP"/>
        </w:rPr>
        <w:t xml:space="preserve"> </w:t>
      </w:r>
    </w:p>
    <w:p w14:paraId="314D0373" w14:textId="77777777" w:rsidR="00156C9E" w:rsidRPr="00F46EF2" w:rsidRDefault="00156C9E">
      <w:pPr>
        <w:pStyle w:val="a3"/>
        <w:rPr>
          <w:rFonts w:ascii="Times New Roman" w:eastAsia="ＭＳ Ｐ明朝" w:hAnsi="Times New Roman"/>
          <w:sz w:val="20"/>
          <w:szCs w:val="21"/>
          <w:lang w:eastAsia="ja-JP"/>
        </w:rPr>
      </w:pPr>
    </w:p>
    <w:p w14:paraId="12953C9B" w14:textId="77777777" w:rsidR="00FF745D" w:rsidRPr="00F46EF2" w:rsidRDefault="00000000">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PROMs</w:t>
      </w:r>
      <w:r w:rsidRPr="00F46EF2">
        <w:rPr>
          <w:rFonts w:ascii="Times New Roman" w:eastAsia="ＭＳ Ｐ明朝" w:hAnsi="Times New Roman"/>
          <w:sz w:val="20"/>
          <w:szCs w:val="21"/>
          <w:lang w:eastAsia="ja-JP"/>
        </w:rPr>
        <w:t>や</w:t>
      </w:r>
      <w:r w:rsidRPr="00F46EF2">
        <w:rPr>
          <w:rFonts w:ascii="Times New Roman" w:eastAsia="ＭＳ Ｐ明朝" w:hAnsi="Times New Roman"/>
          <w:sz w:val="20"/>
          <w:szCs w:val="21"/>
          <w:lang w:eastAsia="ja-JP"/>
        </w:rPr>
        <w:t>PREMs</w:t>
      </w:r>
      <w:r w:rsidRPr="00F46EF2">
        <w:rPr>
          <w:rFonts w:ascii="Times New Roman" w:eastAsia="ＭＳ Ｐ明朝" w:hAnsi="Times New Roman"/>
          <w:sz w:val="20"/>
          <w:szCs w:val="21"/>
          <w:lang w:eastAsia="ja-JP"/>
        </w:rPr>
        <w:t>を含む患者関連アウトカム</w:t>
      </w:r>
      <w:proofErr w:type="spellEnd"/>
      <w:r w:rsidRPr="00F46EF2">
        <w:rPr>
          <w:rFonts w:ascii="Times New Roman" w:eastAsia="ＭＳ Ｐ明朝" w:hAnsi="Times New Roman"/>
          <w:sz w:val="20"/>
          <w:szCs w:val="21"/>
          <w:lang w:eastAsia="ja-JP"/>
        </w:rPr>
        <w:t>。</w:t>
      </w:r>
    </w:p>
    <w:p w14:paraId="0242C2A1" w14:textId="3CF70DA2" w:rsidR="00FF745D"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rPr>
        <w:t>いくつかの</w:t>
      </w:r>
      <w:r w:rsidRPr="00F46EF2">
        <w:rPr>
          <w:rFonts w:ascii="Times New Roman" w:eastAsia="ＭＳ Ｐ明朝" w:hAnsi="Times New Roman"/>
          <w:sz w:val="20"/>
          <w:szCs w:val="21"/>
        </w:rPr>
        <w:t>HTA</w:t>
      </w:r>
      <w:r w:rsidRPr="00F46EF2">
        <w:rPr>
          <w:rFonts w:ascii="Times New Roman" w:eastAsia="ＭＳ Ｐ明朝" w:hAnsi="Times New Roman"/>
          <w:sz w:val="20"/>
          <w:szCs w:val="21"/>
        </w:rPr>
        <w:t>ガイドラインでは、検証された一般的な患者報告アウトカム測定法（</w:t>
      </w:r>
      <w:r w:rsidRPr="00F46EF2">
        <w:rPr>
          <w:rFonts w:ascii="Times New Roman" w:eastAsia="ＭＳ Ｐ明朝" w:hAnsi="Times New Roman"/>
          <w:sz w:val="20"/>
          <w:szCs w:val="21"/>
        </w:rPr>
        <w:t>patient-reported</w:t>
      </w:r>
      <w:proofErr w:type="spellEnd"/>
      <w:r w:rsidRPr="00F46EF2">
        <w:rPr>
          <w:rFonts w:ascii="Times New Roman" w:eastAsia="ＭＳ Ｐ明朝" w:hAnsi="Times New Roman"/>
          <w:sz w:val="20"/>
          <w:szCs w:val="21"/>
        </w:rPr>
        <w:t xml:space="preserve"> outcome </w:t>
      </w:r>
      <w:proofErr w:type="spellStart"/>
      <w:r w:rsidRPr="00F46EF2">
        <w:rPr>
          <w:rFonts w:ascii="Times New Roman" w:eastAsia="ＭＳ Ｐ明朝" w:hAnsi="Times New Roman"/>
          <w:sz w:val="20"/>
          <w:szCs w:val="21"/>
        </w:rPr>
        <w:t>measure</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PROMs</w:t>
      </w:r>
      <w:r w:rsidRPr="00F46EF2">
        <w:rPr>
          <w:rFonts w:ascii="Times New Roman" w:eastAsia="ＭＳ Ｐ明朝" w:hAnsi="Times New Roman"/>
          <w:sz w:val="20"/>
          <w:szCs w:val="21"/>
        </w:rPr>
        <w:t>）の使用が言及されている。</w:t>
      </w:r>
      <w:r w:rsidRPr="00F46EF2">
        <w:rPr>
          <w:rFonts w:ascii="Times New Roman" w:eastAsia="ＭＳ Ｐ明朝" w:hAnsi="Times New Roman"/>
          <w:sz w:val="20"/>
          <w:szCs w:val="21"/>
          <w:lang w:eastAsia="ja-JP"/>
        </w:rPr>
        <w:t>しかし、</w:t>
      </w:r>
      <w:r w:rsidRPr="00F46EF2">
        <w:rPr>
          <w:rFonts w:ascii="Times New Roman" w:eastAsia="ＭＳ Ｐ明朝" w:hAnsi="Times New Roman"/>
          <w:sz w:val="20"/>
          <w:szCs w:val="21"/>
          <w:lang w:eastAsia="ja-JP"/>
        </w:rPr>
        <w:t>PROMs</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の使用は、</w:t>
      </w:r>
      <w:r w:rsidRPr="00F46EF2">
        <w:rPr>
          <w:rFonts w:ascii="Times New Roman" w:eastAsia="ＭＳ Ｐ明朝" w:hAnsi="Times New Roman"/>
          <w:sz w:val="20"/>
          <w:szCs w:val="21"/>
          <w:lang w:eastAsia="ja-JP"/>
        </w:rPr>
        <w:t>QOL</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の評価、特に</w:t>
      </w:r>
      <w:proofErr w:type="spellEnd"/>
      <w:r w:rsidRPr="00F46EF2">
        <w:rPr>
          <w:rFonts w:ascii="Times New Roman" w:eastAsia="ＭＳ Ｐ明朝" w:hAnsi="Times New Roman"/>
          <w:sz w:val="20"/>
          <w:szCs w:val="21"/>
          <w:lang w:eastAsia="ja-JP"/>
        </w:rPr>
        <w:t xml:space="preserve"> QALYs </w:t>
      </w:r>
      <w:r w:rsidRPr="00F46EF2">
        <w:rPr>
          <w:rFonts w:ascii="Times New Roman" w:eastAsia="ＭＳ Ｐ明朝" w:hAnsi="Times New Roman"/>
          <w:sz w:val="20"/>
          <w:szCs w:val="21"/>
          <w:lang w:eastAsia="ja-JP"/>
        </w:rPr>
        <w:t>算定のための効用ウェイトを導出するために使用される多属性効用測定器（</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）の使用に特化する傾向がある。</w:t>
      </w:r>
      <w:r w:rsidR="00EB59D1" w:rsidRPr="00F46EF2">
        <w:rPr>
          <w:rFonts w:ascii="Times New Roman" w:eastAsia="ＭＳ Ｐ明朝" w:hAnsi="Times New Roman"/>
          <w:sz w:val="20"/>
          <w:szCs w:val="21"/>
          <w:lang w:eastAsia="ja-JP"/>
        </w:rPr>
        <w:t>本レビューへの関係者のインプットでは、</w:t>
      </w:r>
      <w:r w:rsidR="00EB59D1" w:rsidRPr="00F46EF2">
        <w:rPr>
          <w:rFonts w:ascii="Times New Roman" w:eastAsia="ＭＳ Ｐ明朝" w:hAnsi="Times New Roman"/>
          <w:sz w:val="20"/>
          <w:szCs w:val="21"/>
          <w:lang w:eastAsia="ja-JP"/>
        </w:rPr>
        <w:t>HTA</w:t>
      </w:r>
      <w:r w:rsidR="00EB59D1" w:rsidRPr="00F46EF2">
        <w:rPr>
          <w:rFonts w:ascii="Times New Roman" w:eastAsia="ＭＳ Ｐ明朝" w:hAnsi="Times New Roman"/>
          <w:sz w:val="20"/>
          <w:szCs w:val="21"/>
          <w:lang w:eastAsia="ja-JP"/>
        </w:rPr>
        <w:t>が検討するエビデンスに患者の声を反映させ、償還の意思決定により患者中心のアプローチを促進する手段として、</w:t>
      </w:r>
      <w:r w:rsidR="00EB59D1" w:rsidRPr="00F46EF2">
        <w:rPr>
          <w:rFonts w:ascii="Times New Roman" w:eastAsia="ＭＳ Ｐ明朝" w:hAnsi="Times New Roman"/>
          <w:sz w:val="20"/>
          <w:szCs w:val="21"/>
          <w:lang w:eastAsia="ja-JP"/>
        </w:rPr>
        <w:t>PROM</w:t>
      </w:r>
      <w:r w:rsidR="00EB59D1" w:rsidRPr="00F46EF2">
        <w:rPr>
          <w:rFonts w:ascii="Times New Roman" w:eastAsia="ＭＳ Ｐ明朝" w:hAnsi="Times New Roman"/>
          <w:sz w:val="20"/>
          <w:szCs w:val="21"/>
          <w:lang w:eastAsia="ja-JP"/>
        </w:rPr>
        <w:t>と患者報告経験測定（</w:t>
      </w:r>
      <w:r w:rsidR="00EB59D1" w:rsidRPr="00F46EF2">
        <w:rPr>
          <w:rFonts w:ascii="Times New Roman" w:eastAsia="ＭＳ Ｐ明朝" w:hAnsi="Times New Roman"/>
          <w:sz w:val="20"/>
          <w:szCs w:val="21"/>
          <w:lang w:eastAsia="ja-JP"/>
        </w:rPr>
        <w:t>PREM</w:t>
      </w:r>
      <w:r w:rsidR="00EB59D1" w:rsidRPr="00F46EF2">
        <w:rPr>
          <w:rFonts w:ascii="Times New Roman" w:eastAsia="ＭＳ Ｐ明朝" w:hAnsi="Times New Roman"/>
          <w:sz w:val="20"/>
          <w:szCs w:val="21"/>
          <w:lang w:eastAsia="ja-JP"/>
        </w:rPr>
        <w:t>）の重要性が強調された。</w:t>
      </w:r>
      <w:r w:rsidR="00574797" w:rsidRPr="00F46EF2">
        <w:rPr>
          <w:rFonts w:ascii="Times New Roman" w:eastAsia="ＭＳ Ｐ明朝" w:hAnsi="Times New Roman"/>
          <w:sz w:val="20"/>
          <w:szCs w:val="21"/>
          <w:lang w:eastAsia="ja-JP"/>
        </w:rPr>
        <w:t>HTA</w:t>
      </w:r>
      <w:r w:rsidR="00574797" w:rsidRPr="00F46EF2">
        <w:rPr>
          <w:rFonts w:ascii="Times New Roman" w:eastAsia="ＭＳ Ｐ明朝" w:hAnsi="Times New Roman"/>
          <w:sz w:val="20"/>
          <w:szCs w:val="21"/>
          <w:lang w:eastAsia="ja-JP"/>
        </w:rPr>
        <w:t>ガイドラインで使用が推奨または例示</w:t>
      </w:r>
      <w:r w:rsidR="008C54AB" w:rsidRPr="00F46EF2">
        <w:rPr>
          <w:rFonts w:ascii="Times New Roman" w:eastAsia="ＭＳ Ｐ明朝" w:hAnsi="Times New Roman"/>
          <w:sz w:val="20"/>
          <w:szCs w:val="21"/>
          <w:lang w:eastAsia="ja-JP"/>
        </w:rPr>
        <w:t>されている</w:t>
      </w:r>
      <w:r w:rsidR="00574797" w:rsidRPr="00F46EF2">
        <w:rPr>
          <w:rFonts w:ascii="Times New Roman" w:eastAsia="ＭＳ Ｐ明朝" w:hAnsi="Times New Roman"/>
          <w:sz w:val="20"/>
          <w:szCs w:val="21"/>
          <w:lang w:eastAsia="ja-JP"/>
        </w:rPr>
        <w:t>MAUI</w:t>
      </w:r>
      <w:r w:rsidR="00574797" w:rsidRPr="00F46EF2">
        <w:rPr>
          <w:rFonts w:ascii="Times New Roman" w:eastAsia="ＭＳ Ｐ明朝" w:hAnsi="Times New Roman"/>
          <w:sz w:val="20"/>
          <w:szCs w:val="21"/>
          <w:lang w:eastAsia="ja-JP"/>
        </w:rPr>
        <w:t>の</w:t>
      </w:r>
      <w:r w:rsidR="001A7A23" w:rsidRPr="00F46EF2">
        <w:rPr>
          <w:rFonts w:ascii="Times New Roman" w:eastAsia="ＭＳ Ｐ明朝" w:hAnsi="Times New Roman"/>
          <w:sz w:val="20"/>
          <w:szCs w:val="21"/>
          <w:lang w:eastAsia="ja-JP"/>
        </w:rPr>
        <w:t>概要は以下の通りである。</w:t>
      </w:r>
      <w:r w:rsidR="001A7A23" w:rsidRPr="00F46EF2">
        <w:rPr>
          <w:rFonts w:ascii="Times New Roman" w:eastAsia="ＭＳ Ｐ明朝" w:hAnsi="Times New Roman"/>
          <w:sz w:val="20"/>
          <w:szCs w:val="21"/>
          <w:lang w:eastAsia="ja-JP"/>
        </w:rPr>
        <w:t xml:space="preserve"> </w:t>
      </w:r>
      <w:r w:rsidR="001A7A23" w:rsidRPr="00F46EF2">
        <w:rPr>
          <w:rFonts w:ascii="Times New Roman" w:eastAsia="ＭＳ Ｐ明朝" w:hAnsi="Times New Roman"/>
          <w:sz w:val="20"/>
          <w:szCs w:val="21"/>
        </w:rPr>
        <w:fldChar w:fldCharType="begin"/>
      </w:r>
      <w:r w:rsidR="001A7A23" w:rsidRPr="00F46EF2">
        <w:rPr>
          <w:rFonts w:ascii="Times New Roman" w:eastAsia="ＭＳ Ｐ明朝" w:hAnsi="Times New Roman"/>
          <w:sz w:val="20"/>
          <w:szCs w:val="21"/>
          <w:lang w:eastAsia="ja-JP"/>
        </w:rPr>
        <w:instrText xml:space="preserve"> REF _Ref143167101 \h </w:instrText>
      </w:r>
      <w:r w:rsidR="001A7A23"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001A7A23"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表</w:t>
      </w:r>
      <w:r w:rsidR="00356B5C" w:rsidRPr="00F46EF2">
        <w:rPr>
          <w:rFonts w:ascii="Times New Roman" w:eastAsia="ＭＳ Ｐ明朝" w:hAnsi="Times New Roman"/>
          <w:noProof/>
          <w:sz w:val="20"/>
          <w:szCs w:val="21"/>
          <w:lang w:eastAsia="ja-JP"/>
        </w:rPr>
        <w:t>5</w:t>
      </w:r>
      <w:r w:rsidR="001A7A23" w:rsidRPr="00F46EF2">
        <w:rPr>
          <w:rFonts w:ascii="Times New Roman" w:eastAsia="ＭＳ Ｐ明朝" w:hAnsi="Times New Roman"/>
          <w:sz w:val="20"/>
          <w:szCs w:val="21"/>
        </w:rPr>
        <w:fldChar w:fldCharType="end"/>
      </w:r>
      <w:r w:rsidR="00574797" w:rsidRPr="00F46EF2">
        <w:rPr>
          <w:rFonts w:ascii="Times New Roman" w:eastAsia="ＭＳ Ｐ明朝" w:hAnsi="Times New Roman"/>
          <w:sz w:val="20"/>
          <w:szCs w:val="21"/>
          <w:lang w:eastAsia="ja-JP"/>
        </w:rPr>
        <w:t>.</w:t>
      </w:r>
    </w:p>
    <w:p w14:paraId="3A5735A4" w14:textId="77777777" w:rsidR="00156C9E" w:rsidRDefault="00156C9E">
      <w:pPr>
        <w:pStyle w:val="a3"/>
        <w:rPr>
          <w:rFonts w:ascii="Times New Roman" w:eastAsia="ＭＳ Ｐ明朝" w:hAnsi="Times New Roman"/>
          <w:sz w:val="20"/>
          <w:szCs w:val="21"/>
          <w:lang w:eastAsia="ja-JP"/>
        </w:rPr>
      </w:pPr>
    </w:p>
    <w:p w14:paraId="3E7AB334" w14:textId="77777777" w:rsidR="00156C9E" w:rsidRPr="00F46EF2" w:rsidRDefault="00156C9E">
      <w:pPr>
        <w:pStyle w:val="a3"/>
        <w:rPr>
          <w:rFonts w:ascii="Times New Roman" w:eastAsia="ＭＳ Ｐ明朝" w:hAnsi="Times New Roman" w:hint="eastAsia"/>
          <w:sz w:val="20"/>
          <w:szCs w:val="21"/>
          <w:lang w:eastAsia="ja-JP"/>
        </w:rPr>
      </w:pPr>
    </w:p>
    <w:p w14:paraId="5CD292C6" w14:textId="77777777" w:rsidR="00156C9E" w:rsidRDefault="00156C9E" w:rsidP="00156C9E">
      <w:pPr>
        <w:pStyle w:val="af8"/>
      </w:pPr>
      <w:bookmarkStart w:id="17" w:name="_Ref143167101"/>
      <w:r w:rsidRPr="00FE2D90">
        <w:lastRenderedPageBreak/>
        <w:t xml:space="preserve">Table </w:t>
      </w:r>
      <w:r>
        <w:fldChar w:fldCharType="begin"/>
      </w:r>
      <w:r>
        <w:instrText xml:space="preserve"> SEQ Table \* ARABIC </w:instrText>
      </w:r>
      <w:r>
        <w:fldChar w:fldCharType="separate"/>
      </w:r>
      <w:r>
        <w:rPr>
          <w:noProof/>
        </w:rPr>
        <w:t>5</w:t>
      </w:r>
      <w:r>
        <w:rPr>
          <w:noProof/>
        </w:rPr>
        <w:fldChar w:fldCharType="end"/>
      </w:r>
      <w:bookmarkEnd w:id="17"/>
      <w:r w:rsidRPr="00FE2D90">
        <w:tab/>
        <w:t>HTA guidelines that recommend or encourage the use of a specific MAUI for CUA</w:t>
      </w:r>
    </w:p>
    <w:tbl>
      <w:tblPr>
        <w:tblStyle w:val="af2"/>
        <w:tblW w:w="0" w:type="auto"/>
        <w:tblLook w:val="04A0" w:firstRow="1" w:lastRow="0" w:firstColumn="1" w:lastColumn="0" w:noHBand="0" w:noVBand="1"/>
        <w:tblCaption w:val="HTA guidelines that recommend or encourage the use of a specific MAUI for CUA"/>
      </w:tblPr>
      <w:tblGrid>
        <w:gridCol w:w="2122"/>
        <w:gridCol w:w="910"/>
        <w:gridCol w:w="910"/>
        <w:gridCol w:w="910"/>
        <w:gridCol w:w="911"/>
        <w:gridCol w:w="910"/>
        <w:gridCol w:w="910"/>
        <w:gridCol w:w="911"/>
      </w:tblGrid>
      <w:tr w:rsidR="00156C9E" w14:paraId="6758EF65" w14:textId="77777777" w:rsidTr="00634CA1">
        <w:trPr>
          <w:tblHeader/>
        </w:trPr>
        <w:tc>
          <w:tcPr>
            <w:tcW w:w="2122" w:type="dxa"/>
          </w:tcPr>
          <w:p w14:paraId="1555A6A0" w14:textId="77777777" w:rsidR="00156C9E" w:rsidRPr="00AF4EF7" w:rsidRDefault="00156C9E" w:rsidP="00634CA1">
            <w:pPr>
              <w:rPr>
                <w:b/>
              </w:rPr>
            </w:pPr>
          </w:p>
        </w:tc>
        <w:tc>
          <w:tcPr>
            <w:tcW w:w="910" w:type="dxa"/>
          </w:tcPr>
          <w:p w14:paraId="11E602CC" w14:textId="77777777" w:rsidR="00156C9E" w:rsidRPr="00AF4EF7" w:rsidRDefault="00156C9E" w:rsidP="00634CA1">
            <w:pPr>
              <w:ind w:left="-75"/>
              <w:jc w:val="center"/>
              <w:rPr>
                <w:b/>
              </w:rPr>
            </w:pPr>
            <w:r w:rsidRPr="00AF4EF7">
              <w:rPr>
                <w:b/>
              </w:rPr>
              <w:t>EQ-5D-5L</w:t>
            </w:r>
          </w:p>
        </w:tc>
        <w:tc>
          <w:tcPr>
            <w:tcW w:w="910" w:type="dxa"/>
          </w:tcPr>
          <w:p w14:paraId="40060834" w14:textId="77777777" w:rsidR="00156C9E" w:rsidRPr="00AF4EF7" w:rsidRDefault="00156C9E" w:rsidP="00634CA1">
            <w:pPr>
              <w:ind w:left="-75"/>
              <w:jc w:val="center"/>
              <w:rPr>
                <w:b/>
              </w:rPr>
            </w:pPr>
            <w:r w:rsidRPr="00AF4EF7">
              <w:rPr>
                <w:b/>
              </w:rPr>
              <w:t>EQ-5D-3L</w:t>
            </w:r>
          </w:p>
        </w:tc>
        <w:tc>
          <w:tcPr>
            <w:tcW w:w="910" w:type="dxa"/>
          </w:tcPr>
          <w:p w14:paraId="4275804B" w14:textId="77777777" w:rsidR="00156C9E" w:rsidRPr="00AF4EF7" w:rsidRDefault="00156C9E" w:rsidP="00634CA1">
            <w:pPr>
              <w:ind w:left="-75"/>
              <w:jc w:val="center"/>
              <w:rPr>
                <w:b/>
              </w:rPr>
            </w:pPr>
            <w:r w:rsidRPr="00AF4EF7">
              <w:rPr>
                <w:b/>
              </w:rPr>
              <w:t>SF-</w:t>
            </w:r>
            <w:r>
              <w:rPr>
                <w:b/>
              </w:rPr>
              <w:t>6D</w:t>
            </w:r>
          </w:p>
        </w:tc>
        <w:tc>
          <w:tcPr>
            <w:tcW w:w="911" w:type="dxa"/>
          </w:tcPr>
          <w:p w14:paraId="30C78913" w14:textId="77777777" w:rsidR="00156C9E" w:rsidRPr="00AF4EF7" w:rsidRDefault="00156C9E" w:rsidP="00634CA1">
            <w:pPr>
              <w:ind w:left="-75" w:right="-114"/>
              <w:jc w:val="center"/>
              <w:rPr>
                <w:b/>
              </w:rPr>
            </w:pPr>
            <w:r w:rsidRPr="00AF4EF7">
              <w:rPr>
                <w:b/>
              </w:rPr>
              <w:t>HUI (2 or 3)</w:t>
            </w:r>
          </w:p>
        </w:tc>
        <w:tc>
          <w:tcPr>
            <w:tcW w:w="910" w:type="dxa"/>
          </w:tcPr>
          <w:p w14:paraId="71E270D8" w14:textId="77777777" w:rsidR="00156C9E" w:rsidRPr="00AF4EF7" w:rsidRDefault="00156C9E" w:rsidP="00634CA1">
            <w:pPr>
              <w:ind w:left="-75"/>
              <w:jc w:val="center"/>
              <w:rPr>
                <w:b/>
              </w:rPr>
            </w:pPr>
            <w:r w:rsidRPr="00AF4EF7">
              <w:rPr>
                <w:b/>
              </w:rPr>
              <w:t>QWB</w:t>
            </w:r>
          </w:p>
        </w:tc>
        <w:tc>
          <w:tcPr>
            <w:tcW w:w="910" w:type="dxa"/>
          </w:tcPr>
          <w:p w14:paraId="17101199" w14:textId="77777777" w:rsidR="00156C9E" w:rsidRPr="00AF4EF7" w:rsidRDefault="00156C9E" w:rsidP="00634CA1">
            <w:pPr>
              <w:ind w:left="-75"/>
              <w:jc w:val="center"/>
              <w:rPr>
                <w:b/>
              </w:rPr>
            </w:pPr>
            <w:proofErr w:type="spellStart"/>
            <w:r w:rsidRPr="00AF4EF7">
              <w:rPr>
                <w:b/>
              </w:rPr>
              <w:t>AQoL</w:t>
            </w:r>
            <w:proofErr w:type="spellEnd"/>
          </w:p>
        </w:tc>
        <w:tc>
          <w:tcPr>
            <w:tcW w:w="911" w:type="dxa"/>
          </w:tcPr>
          <w:p w14:paraId="5E7FC943" w14:textId="77777777" w:rsidR="00156C9E" w:rsidRPr="00AF4EF7" w:rsidRDefault="00156C9E" w:rsidP="00634CA1">
            <w:pPr>
              <w:ind w:left="-75"/>
              <w:jc w:val="center"/>
              <w:rPr>
                <w:b/>
              </w:rPr>
            </w:pPr>
            <w:r w:rsidRPr="00AF4EF7">
              <w:rPr>
                <w:b/>
              </w:rPr>
              <w:t>CHU9D</w:t>
            </w:r>
          </w:p>
        </w:tc>
      </w:tr>
      <w:tr w:rsidR="00156C9E" w14:paraId="3EF0ECEB" w14:textId="77777777" w:rsidTr="00634CA1">
        <w:tc>
          <w:tcPr>
            <w:tcW w:w="8494" w:type="dxa"/>
            <w:gridSpan w:val="8"/>
          </w:tcPr>
          <w:p w14:paraId="59E4F0A6" w14:textId="77777777" w:rsidR="00156C9E" w:rsidRDefault="00156C9E" w:rsidP="00634CA1">
            <w:pPr>
              <w:ind w:left="-75"/>
            </w:pPr>
            <w:r w:rsidRPr="00AF4EF7">
              <w:rPr>
                <w:b/>
              </w:rPr>
              <w:t xml:space="preserve">Specific </w:t>
            </w:r>
            <w:r>
              <w:rPr>
                <w:b/>
              </w:rPr>
              <w:t xml:space="preserve">MAUI(s) </w:t>
            </w:r>
            <w:r w:rsidRPr="00AF4EF7">
              <w:rPr>
                <w:b/>
              </w:rPr>
              <w:t>recommend</w:t>
            </w:r>
            <w:r>
              <w:rPr>
                <w:b/>
              </w:rPr>
              <w:t>ed</w:t>
            </w:r>
          </w:p>
        </w:tc>
      </w:tr>
      <w:tr w:rsidR="00156C9E" w14:paraId="5AE9489B" w14:textId="77777777" w:rsidTr="00634CA1">
        <w:tc>
          <w:tcPr>
            <w:tcW w:w="2122" w:type="dxa"/>
            <w:tcBorders>
              <w:bottom w:val="nil"/>
            </w:tcBorders>
          </w:tcPr>
          <w:p w14:paraId="3BBDBA54" w14:textId="77777777" w:rsidR="00156C9E" w:rsidRDefault="00156C9E" w:rsidP="00634CA1">
            <w:pPr>
              <w:ind w:left="-75"/>
            </w:pPr>
            <w:r>
              <w:t>England and Wales (NICE)</w:t>
            </w:r>
          </w:p>
        </w:tc>
        <w:tc>
          <w:tcPr>
            <w:tcW w:w="910" w:type="dxa"/>
            <w:tcBorders>
              <w:bottom w:val="nil"/>
              <w:right w:val="nil"/>
            </w:tcBorders>
          </w:tcPr>
          <w:p w14:paraId="78A202E0" w14:textId="77777777" w:rsidR="00156C9E" w:rsidRDefault="00156C9E" w:rsidP="00634CA1">
            <w:pPr>
              <w:ind w:left="-75"/>
              <w:jc w:val="center"/>
            </w:pPr>
            <w:r>
              <w:t>Yes</w:t>
            </w:r>
          </w:p>
        </w:tc>
        <w:tc>
          <w:tcPr>
            <w:tcW w:w="910" w:type="dxa"/>
            <w:tcBorders>
              <w:left w:val="nil"/>
              <w:bottom w:val="nil"/>
              <w:right w:val="nil"/>
            </w:tcBorders>
          </w:tcPr>
          <w:p w14:paraId="7A554DD2" w14:textId="77777777" w:rsidR="00156C9E" w:rsidRDefault="00156C9E" w:rsidP="00634CA1">
            <w:pPr>
              <w:ind w:left="-75"/>
              <w:jc w:val="center"/>
            </w:pPr>
            <w:r>
              <w:t>Yes</w:t>
            </w:r>
          </w:p>
        </w:tc>
        <w:tc>
          <w:tcPr>
            <w:tcW w:w="910" w:type="dxa"/>
            <w:tcBorders>
              <w:left w:val="nil"/>
              <w:bottom w:val="nil"/>
              <w:right w:val="nil"/>
            </w:tcBorders>
          </w:tcPr>
          <w:p w14:paraId="35977AA2" w14:textId="77777777" w:rsidR="00156C9E" w:rsidRDefault="00156C9E" w:rsidP="00634CA1">
            <w:pPr>
              <w:ind w:left="-75"/>
              <w:jc w:val="center"/>
            </w:pPr>
          </w:p>
        </w:tc>
        <w:tc>
          <w:tcPr>
            <w:tcW w:w="911" w:type="dxa"/>
            <w:tcBorders>
              <w:left w:val="nil"/>
              <w:bottom w:val="nil"/>
              <w:right w:val="nil"/>
            </w:tcBorders>
          </w:tcPr>
          <w:p w14:paraId="0F4870BF" w14:textId="77777777" w:rsidR="00156C9E" w:rsidRDefault="00156C9E" w:rsidP="00634CA1">
            <w:pPr>
              <w:ind w:left="-75"/>
              <w:jc w:val="center"/>
            </w:pPr>
          </w:p>
        </w:tc>
        <w:tc>
          <w:tcPr>
            <w:tcW w:w="910" w:type="dxa"/>
            <w:tcBorders>
              <w:left w:val="nil"/>
              <w:bottom w:val="nil"/>
              <w:right w:val="nil"/>
            </w:tcBorders>
          </w:tcPr>
          <w:p w14:paraId="691A0555" w14:textId="77777777" w:rsidR="00156C9E" w:rsidRDefault="00156C9E" w:rsidP="00634CA1">
            <w:pPr>
              <w:ind w:left="-75"/>
              <w:jc w:val="center"/>
            </w:pPr>
          </w:p>
        </w:tc>
        <w:tc>
          <w:tcPr>
            <w:tcW w:w="910" w:type="dxa"/>
            <w:tcBorders>
              <w:left w:val="nil"/>
              <w:bottom w:val="nil"/>
              <w:right w:val="nil"/>
            </w:tcBorders>
          </w:tcPr>
          <w:p w14:paraId="264B85B1" w14:textId="77777777" w:rsidR="00156C9E" w:rsidRDefault="00156C9E" w:rsidP="00634CA1">
            <w:pPr>
              <w:ind w:left="-75"/>
              <w:jc w:val="center"/>
            </w:pPr>
          </w:p>
        </w:tc>
        <w:tc>
          <w:tcPr>
            <w:tcW w:w="911" w:type="dxa"/>
            <w:tcBorders>
              <w:left w:val="nil"/>
              <w:bottom w:val="nil"/>
            </w:tcBorders>
          </w:tcPr>
          <w:p w14:paraId="3A549BC9" w14:textId="77777777" w:rsidR="00156C9E" w:rsidRDefault="00156C9E" w:rsidP="00634CA1">
            <w:pPr>
              <w:ind w:left="-75"/>
              <w:jc w:val="center"/>
            </w:pPr>
          </w:p>
        </w:tc>
      </w:tr>
      <w:tr w:rsidR="00156C9E" w14:paraId="5AD0511F" w14:textId="77777777" w:rsidTr="00634CA1">
        <w:tc>
          <w:tcPr>
            <w:tcW w:w="2122" w:type="dxa"/>
            <w:tcBorders>
              <w:top w:val="nil"/>
              <w:bottom w:val="nil"/>
            </w:tcBorders>
          </w:tcPr>
          <w:p w14:paraId="4293534D" w14:textId="77777777" w:rsidR="00156C9E" w:rsidRDefault="00156C9E" w:rsidP="00634CA1">
            <w:pPr>
              <w:ind w:left="-75"/>
            </w:pPr>
            <w:r>
              <w:t>Scotland (SMC)</w:t>
            </w:r>
          </w:p>
        </w:tc>
        <w:tc>
          <w:tcPr>
            <w:tcW w:w="910" w:type="dxa"/>
            <w:tcBorders>
              <w:top w:val="nil"/>
              <w:bottom w:val="nil"/>
              <w:right w:val="nil"/>
            </w:tcBorders>
          </w:tcPr>
          <w:p w14:paraId="28EF8784" w14:textId="77777777" w:rsidR="00156C9E" w:rsidRDefault="00156C9E" w:rsidP="00634CA1">
            <w:pPr>
              <w:ind w:left="-75"/>
              <w:jc w:val="center"/>
            </w:pPr>
            <w:r>
              <w:t>Yes</w:t>
            </w:r>
          </w:p>
        </w:tc>
        <w:tc>
          <w:tcPr>
            <w:tcW w:w="910" w:type="dxa"/>
            <w:tcBorders>
              <w:top w:val="nil"/>
              <w:left w:val="nil"/>
              <w:bottom w:val="nil"/>
              <w:right w:val="nil"/>
            </w:tcBorders>
          </w:tcPr>
          <w:p w14:paraId="082EA4EE" w14:textId="77777777" w:rsidR="00156C9E" w:rsidRDefault="00156C9E" w:rsidP="00634CA1">
            <w:pPr>
              <w:ind w:left="-75"/>
              <w:jc w:val="center"/>
            </w:pPr>
            <w:r>
              <w:t>Yes</w:t>
            </w:r>
          </w:p>
        </w:tc>
        <w:tc>
          <w:tcPr>
            <w:tcW w:w="910" w:type="dxa"/>
            <w:tcBorders>
              <w:top w:val="nil"/>
              <w:left w:val="nil"/>
              <w:bottom w:val="nil"/>
              <w:right w:val="nil"/>
            </w:tcBorders>
          </w:tcPr>
          <w:p w14:paraId="0079E700" w14:textId="77777777" w:rsidR="00156C9E" w:rsidRDefault="00156C9E" w:rsidP="00634CA1">
            <w:pPr>
              <w:ind w:left="-75"/>
              <w:jc w:val="center"/>
            </w:pPr>
          </w:p>
        </w:tc>
        <w:tc>
          <w:tcPr>
            <w:tcW w:w="911" w:type="dxa"/>
            <w:tcBorders>
              <w:top w:val="nil"/>
              <w:left w:val="nil"/>
              <w:bottom w:val="nil"/>
              <w:right w:val="nil"/>
            </w:tcBorders>
          </w:tcPr>
          <w:p w14:paraId="5F9FA8BD" w14:textId="77777777" w:rsidR="00156C9E" w:rsidRDefault="00156C9E" w:rsidP="00634CA1">
            <w:pPr>
              <w:ind w:left="-75"/>
              <w:jc w:val="center"/>
            </w:pPr>
          </w:p>
        </w:tc>
        <w:tc>
          <w:tcPr>
            <w:tcW w:w="910" w:type="dxa"/>
            <w:tcBorders>
              <w:top w:val="nil"/>
              <w:left w:val="nil"/>
              <w:bottom w:val="nil"/>
              <w:right w:val="nil"/>
            </w:tcBorders>
          </w:tcPr>
          <w:p w14:paraId="0B194E47" w14:textId="77777777" w:rsidR="00156C9E" w:rsidRDefault="00156C9E" w:rsidP="00634CA1">
            <w:pPr>
              <w:ind w:left="-75"/>
              <w:jc w:val="center"/>
            </w:pPr>
          </w:p>
        </w:tc>
        <w:tc>
          <w:tcPr>
            <w:tcW w:w="910" w:type="dxa"/>
            <w:tcBorders>
              <w:top w:val="nil"/>
              <w:left w:val="nil"/>
              <w:bottom w:val="nil"/>
              <w:right w:val="nil"/>
            </w:tcBorders>
          </w:tcPr>
          <w:p w14:paraId="64DCC325" w14:textId="77777777" w:rsidR="00156C9E" w:rsidRDefault="00156C9E" w:rsidP="00634CA1">
            <w:pPr>
              <w:ind w:left="-75"/>
              <w:jc w:val="center"/>
            </w:pPr>
          </w:p>
        </w:tc>
        <w:tc>
          <w:tcPr>
            <w:tcW w:w="911" w:type="dxa"/>
            <w:tcBorders>
              <w:top w:val="nil"/>
              <w:left w:val="nil"/>
              <w:bottom w:val="nil"/>
            </w:tcBorders>
          </w:tcPr>
          <w:p w14:paraId="04375BFB" w14:textId="77777777" w:rsidR="00156C9E" w:rsidRDefault="00156C9E" w:rsidP="00634CA1">
            <w:pPr>
              <w:ind w:left="-75"/>
              <w:jc w:val="center"/>
            </w:pPr>
          </w:p>
        </w:tc>
      </w:tr>
      <w:tr w:rsidR="00156C9E" w14:paraId="0E212DB6" w14:textId="77777777" w:rsidTr="00634CA1">
        <w:tc>
          <w:tcPr>
            <w:tcW w:w="2122" w:type="dxa"/>
            <w:tcBorders>
              <w:top w:val="nil"/>
              <w:bottom w:val="nil"/>
            </w:tcBorders>
          </w:tcPr>
          <w:p w14:paraId="04C50129" w14:textId="77777777" w:rsidR="00156C9E" w:rsidRDefault="00156C9E" w:rsidP="00634CA1">
            <w:pPr>
              <w:ind w:left="-75" w:right="-318"/>
            </w:pPr>
            <w:r>
              <w:t>New Zealand (PHARMAC)</w:t>
            </w:r>
          </w:p>
        </w:tc>
        <w:tc>
          <w:tcPr>
            <w:tcW w:w="910" w:type="dxa"/>
            <w:tcBorders>
              <w:top w:val="nil"/>
              <w:bottom w:val="nil"/>
              <w:right w:val="nil"/>
            </w:tcBorders>
          </w:tcPr>
          <w:p w14:paraId="14CA2EC8" w14:textId="77777777" w:rsidR="00156C9E" w:rsidRDefault="00156C9E" w:rsidP="00634CA1">
            <w:pPr>
              <w:ind w:left="-75"/>
              <w:jc w:val="center"/>
            </w:pPr>
          </w:p>
        </w:tc>
        <w:tc>
          <w:tcPr>
            <w:tcW w:w="910" w:type="dxa"/>
            <w:tcBorders>
              <w:top w:val="nil"/>
              <w:left w:val="nil"/>
              <w:bottom w:val="nil"/>
              <w:right w:val="nil"/>
            </w:tcBorders>
          </w:tcPr>
          <w:p w14:paraId="2B715A91" w14:textId="77777777" w:rsidR="00156C9E" w:rsidRDefault="00156C9E" w:rsidP="00634CA1">
            <w:pPr>
              <w:ind w:left="-75"/>
              <w:jc w:val="center"/>
            </w:pPr>
            <w:r>
              <w:t>Yes</w:t>
            </w:r>
          </w:p>
        </w:tc>
        <w:tc>
          <w:tcPr>
            <w:tcW w:w="910" w:type="dxa"/>
            <w:tcBorders>
              <w:top w:val="nil"/>
              <w:left w:val="nil"/>
              <w:bottom w:val="nil"/>
              <w:right w:val="nil"/>
            </w:tcBorders>
          </w:tcPr>
          <w:p w14:paraId="36AC3116" w14:textId="77777777" w:rsidR="00156C9E" w:rsidRDefault="00156C9E" w:rsidP="00634CA1">
            <w:pPr>
              <w:ind w:left="-75"/>
              <w:jc w:val="center"/>
            </w:pPr>
          </w:p>
        </w:tc>
        <w:tc>
          <w:tcPr>
            <w:tcW w:w="911" w:type="dxa"/>
            <w:tcBorders>
              <w:top w:val="nil"/>
              <w:left w:val="nil"/>
              <w:bottom w:val="nil"/>
              <w:right w:val="nil"/>
            </w:tcBorders>
          </w:tcPr>
          <w:p w14:paraId="06E3EC9E" w14:textId="77777777" w:rsidR="00156C9E" w:rsidRDefault="00156C9E" w:rsidP="00634CA1">
            <w:pPr>
              <w:ind w:left="-75"/>
              <w:jc w:val="center"/>
            </w:pPr>
          </w:p>
        </w:tc>
        <w:tc>
          <w:tcPr>
            <w:tcW w:w="910" w:type="dxa"/>
            <w:tcBorders>
              <w:top w:val="nil"/>
              <w:left w:val="nil"/>
              <w:bottom w:val="nil"/>
              <w:right w:val="nil"/>
            </w:tcBorders>
          </w:tcPr>
          <w:p w14:paraId="70F911C8" w14:textId="77777777" w:rsidR="00156C9E" w:rsidRDefault="00156C9E" w:rsidP="00634CA1">
            <w:pPr>
              <w:ind w:left="-75"/>
              <w:jc w:val="center"/>
            </w:pPr>
          </w:p>
        </w:tc>
        <w:tc>
          <w:tcPr>
            <w:tcW w:w="910" w:type="dxa"/>
            <w:tcBorders>
              <w:top w:val="nil"/>
              <w:left w:val="nil"/>
              <w:bottom w:val="nil"/>
              <w:right w:val="nil"/>
            </w:tcBorders>
          </w:tcPr>
          <w:p w14:paraId="1E2C2231" w14:textId="77777777" w:rsidR="00156C9E" w:rsidRDefault="00156C9E" w:rsidP="00634CA1">
            <w:pPr>
              <w:ind w:left="-75"/>
              <w:jc w:val="center"/>
            </w:pPr>
          </w:p>
        </w:tc>
        <w:tc>
          <w:tcPr>
            <w:tcW w:w="911" w:type="dxa"/>
            <w:tcBorders>
              <w:top w:val="nil"/>
              <w:left w:val="nil"/>
              <w:bottom w:val="nil"/>
            </w:tcBorders>
          </w:tcPr>
          <w:p w14:paraId="1E286115" w14:textId="77777777" w:rsidR="00156C9E" w:rsidRDefault="00156C9E" w:rsidP="00634CA1">
            <w:pPr>
              <w:ind w:left="-75"/>
              <w:jc w:val="center"/>
            </w:pPr>
          </w:p>
        </w:tc>
      </w:tr>
      <w:tr w:rsidR="00156C9E" w14:paraId="6278511E" w14:textId="77777777" w:rsidTr="00634CA1">
        <w:tc>
          <w:tcPr>
            <w:tcW w:w="2122" w:type="dxa"/>
            <w:tcBorders>
              <w:top w:val="nil"/>
              <w:bottom w:val="nil"/>
            </w:tcBorders>
          </w:tcPr>
          <w:p w14:paraId="29E352BF" w14:textId="77777777" w:rsidR="00156C9E" w:rsidRDefault="00156C9E" w:rsidP="00634CA1">
            <w:pPr>
              <w:ind w:left="-75"/>
            </w:pPr>
            <w:r>
              <w:t>France (HAS)</w:t>
            </w:r>
          </w:p>
        </w:tc>
        <w:tc>
          <w:tcPr>
            <w:tcW w:w="910" w:type="dxa"/>
            <w:tcBorders>
              <w:top w:val="nil"/>
              <w:bottom w:val="nil"/>
              <w:right w:val="nil"/>
            </w:tcBorders>
          </w:tcPr>
          <w:p w14:paraId="10EA22A3" w14:textId="77777777" w:rsidR="00156C9E" w:rsidRDefault="00156C9E" w:rsidP="00634CA1">
            <w:pPr>
              <w:ind w:left="-75"/>
              <w:jc w:val="center"/>
            </w:pPr>
            <w:r>
              <w:t>Yes</w:t>
            </w:r>
          </w:p>
        </w:tc>
        <w:tc>
          <w:tcPr>
            <w:tcW w:w="910" w:type="dxa"/>
            <w:tcBorders>
              <w:top w:val="nil"/>
              <w:left w:val="nil"/>
              <w:bottom w:val="nil"/>
              <w:right w:val="nil"/>
            </w:tcBorders>
          </w:tcPr>
          <w:p w14:paraId="013F7201" w14:textId="77777777" w:rsidR="00156C9E" w:rsidRDefault="00156C9E" w:rsidP="00634CA1">
            <w:pPr>
              <w:ind w:left="-75"/>
              <w:jc w:val="center"/>
            </w:pPr>
          </w:p>
        </w:tc>
        <w:tc>
          <w:tcPr>
            <w:tcW w:w="910" w:type="dxa"/>
            <w:tcBorders>
              <w:top w:val="nil"/>
              <w:left w:val="nil"/>
              <w:bottom w:val="nil"/>
              <w:right w:val="nil"/>
            </w:tcBorders>
          </w:tcPr>
          <w:p w14:paraId="7A0538F9" w14:textId="77777777" w:rsidR="00156C9E" w:rsidRDefault="00156C9E" w:rsidP="00634CA1">
            <w:pPr>
              <w:ind w:left="-75"/>
              <w:jc w:val="center"/>
            </w:pPr>
          </w:p>
        </w:tc>
        <w:tc>
          <w:tcPr>
            <w:tcW w:w="911" w:type="dxa"/>
            <w:tcBorders>
              <w:top w:val="nil"/>
              <w:left w:val="nil"/>
              <w:bottom w:val="nil"/>
              <w:right w:val="nil"/>
            </w:tcBorders>
          </w:tcPr>
          <w:p w14:paraId="35679388" w14:textId="77777777" w:rsidR="00156C9E" w:rsidRDefault="00156C9E" w:rsidP="00634CA1">
            <w:pPr>
              <w:ind w:left="-75"/>
              <w:jc w:val="center"/>
            </w:pPr>
          </w:p>
        </w:tc>
        <w:tc>
          <w:tcPr>
            <w:tcW w:w="910" w:type="dxa"/>
            <w:tcBorders>
              <w:top w:val="nil"/>
              <w:left w:val="nil"/>
              <w:bottom w:val="nil"/>
              <w:right w:val="nil"/>
            </w:tcBorders>
          </w:tcPr>
          <w:p w14:paraId="61939D26" w14:textId="77777777" w:rsidR="00156C9E" w:rsidRDefault="00156C9E" w:rsidP="00634CA1">
            <w:pPr>
              <w:ind w:left="-75"/>
              <w:jc w:val="center"/>
            </w:pPr>
          </w:p>
        </w:tc>
        <w:tc>
          <w:tcPr>
            <w:tcW w:w="910" w:type="dxa"/>
            <w:tcBorders>
              <w:top w:val="nil"/>
              <w:left w:val="nil"/>
              <w:bottom w:val="nil"/>
              <w:right w:val="nil"/>
            </w:tcBorders>
          </w:tcPr>
          <w:p w14:paraId="7700A55A" w14:textId="77777777" w:rsidR="00156C9E" w:rsidRDefault="00156C9E" w:rsidP="00634CA1">
            <w:pPr>
              <w:ind w:left="-75"/>
              <w:jc w:val="center"/>
            </w:pPr>
          </w:p>
        </w:tc>
        <w:tc>
          <w:tcPr>
            <w:tcW w:w="911" w:type="dxa"/>
            <w:tcBorders>
              <w:top w:val="nil"/>
              <w:left w:val="nil"/>
              <w:bottom w:val="nil"/>
            </w:tcBorders>
          </w:tcPr>
          <w:p w14:paraId="6ED452C5" w14:textId="77777777" w:rsidR="00156C9E" w:rsidRDefault="00156C9E" w:rsidP="00634CA1">
            <w:pPr>
              <w:ind w:left="-75"/>
              <w:jc w:val="center"/>
            </w:pPr>
          </w:p>
        </w:tc>
      </w:tr>
      <w:tr w:rsidR="00156C9E" w14:paraId="6E428638" w14:textId="77777777" w:rsidTr="00634CA1">
        <w:tc>
          <w:tcPr>
            <w:tcW w:w="2122" w:type="dxa"/>
            <w:tcBorders>
              <w:top w:val="nil"/>
              <w:bottom w:val="nil"/>
            </w:tcBorders>
          </w:tcPr>
          <w:p w14:paraId="3CCCC7FC" w14:textId="77777777" w:rsidR="00156C9E" w:rsidRDefault="00156C9E" w:rsidP="00634CA1">
            <w:pPr>
              <w:ind w:left="-75"/>
            </w:pPr>
            <w:r>
              <w:t>Norway (</w:t>
            </w:r>
            <w:proofErr w:type="spellStart"/>
            <w:r>
              <w:t>NoMA</w:t>
            </w:r>
            <w:proofErr w:type="spellEnd"/>
            <w:r>
              <w:t>/NIPH)</w:t>
            </w:r>
          </w:p>
        </w:tc>
        <w:tc>
          <w:tcPr>
            <w:tcW w:w="910" w:type="dxa"/>
            <w:tcBorders>
              <w:top w:val="nil"/>
              <w:bottom w:val="nil"/>
              <w:right w:val="nil"/>
            </w:tcBorders>
          </w:tcPr>
          <w:p w14:paraId="1720F174" w14:textId="77777777" w:rsidR="00156C9E" w:rsidRDefault="00156C9E" w:rsidP="00634CA1">
            <w:pPr>
              <w:ind w:left="-75"/>
              <w:jc w:val="center"/>
            </w:pPr>
            <w:r>
              <w:t>Yes</w:t>
            </w:r>
          </w:p>
        </w:tc>
        <w:tc>
          <w:tcPr>
            <w:tcW w:w="910" w:type="dxa"/>
            <w:tcBorders>
              <w:top w:val="nil"/>
              <w:left w:val="nil"/>
              <w:bottom w:val="nil"/>
              <w:right w:val="nil"/>
            </w:tcBorders>
          </w:tcPr>
          <w:p w14:paraId="65DBBFFC" w14:textId="77777777" w:rsidR="00156C9E" w:rsidRDefault="00156C9E" w:rsidP="00634CA1">
            <w:pPr>
              <w:ind w:left="-75"/>
              <w:jc w:val="center"/>
            </w:pPr>
            <w:r>
              <w:t>Yes</w:t>
            </w:r>
          </w:p>
        </w:tc>
        <w:tc>
          <w:tcPr>
            <w:tcW w:w="910" w:type="dxa"/>
            <w:tcBorders>
              <w:top w:val="nil"/>
              <w:left w:val="nil"/>
              <w:bottom w:val="nil"/>
              <w:right w:val="nil"/>
            </w:tcBorders>
          </w:tcPr>
          <w:p w14:paraId="3A612660" w14:textId="77777777" w:rsidR="00156C9E" w:rsidRDefault="00156C9E" w:rsidP="00634CA1">
            <w:pPr>
              <w:ind w:left="-75"/>
              <w:jc w:val="center"/>
            </w:pPr>
          </w:p>
        </w:tc>
        <w:tc>
          <w:tcPr>
            <w:tcW w:w="911" w:type="dxa"/>
            <w:tcBorders>
              <w:top w:val="nil"/>
              <w:left w:val="nil"/>
              <w:bottom w:val="nil"/>
              <w:right w:val="nil"/>
            </w:tcBorders>
          </w:tcPr>
          <w:p w14:paraId="3C0A0612" w14:textId="77777777" w:rsidR="00156C9E" w:rsidRDefault="00156C9E" w:rsidP="00634CA1">
            <w:pPr>
              <w:ind w:left="-75"/>
              <w:jc w:val="center"/>
            </w:pPr>
          </w:p>
        </w:tc>
        <w:tc>
          <w:tcPr>
            <w:tcW w:w="910" w:type="dxa"/>
            <w:tcBorders>
              <w:top w:val="nil"/>
              <w:left w:val="nil"/>
              <w:bottom w:val="nil"/>
              <w:right w:val="nil"/>
            </w:tcBorders>
          </w:tcPr>
          <w:p w14:paraId="6797A82B" w14:textId="77777777" w:rsidR="00156C9E" w:rsidRDefault="00156C9E" w:rsidP="00634CA1">
            <w:pPr>
              <w:ind w:left="-75"/>
              <w:jc w:val="center"/>
            </w:pPr>
          </w:p>
        </w:tc>
        <w:tc>
          <w:tcPr>
            <w:tcW w:w="910" w:type="dxa"/>
            <w:tcBorders>
              <w:top w:val="nil"/>
              <w:left w:val="nil"/>
              <w:bottom w:val="nil"/>
              <w:right w:val="nil"/>
            </w:tcBorders>
          </w:tcPr>
          <w:p w14:paraId="401B6C56" w14:textId="77777777" w:rsidR="00156C9E" w:rsidRDefault="00156C9E" w:rsidP="00634CA1">
            <w:pPr>
              <w:ind w:left="-75"/>
              <w:jc w:val="center"/>
            </w:pPr>
          </w:p>
        </w:tc>
        <w:tc>
          <w:tcPr>
            <w:tcW w:w="911" w:type="dxa"/>
            <w:tcBorders>
              <w:top w:val="nil"/>
              <w:left w:val="nil"/>
              <w:bottom w:val="nil"/>
            </w:tcBorders>
          </w:tcPr>
          <w:p w14:paraId="7717FC9A" w14:textId="77777777" w:rsidR="00156C9E" w:rsidRDefault="00156C9E" w:rsidP="00634CA1">
            <w:pPr>
              <w:ind w:left="-75"/>
              <w:jc w:val="center"/>
            </w:pPr>
          </w:p>
        </w:tc>
      </w:tr>
      <w:tr w:rsidR="00156C9E" w14:paraId="74396476" w14:textId="77777777" w:rsidTr="00634CA1">
        <w:tc>
          <w:tcPr>
            <w:tcW w:w="2122" w:type="dxa"/>
            <w:tcBorders>
              <w:top w:val="nil"/>
              <w:bottom w:val="nil"/>
            </w:tcBorders>
          </w:tcPr>
          <w:p w14:paraId="0924104D" w14:textId="77777777" w:rsidR="00156C9E" w:rsidRDefault="00156C9E" w:rsidP="00634CA1">
            <w:pPr>
              <w:ind w:left="-75"/>
            </w:pPr>
            <w:r>
              <w:t>The Netherlands (ZIN)</w:t>
            </w:r>
          </w:p>
        </w:tc>
        <w:tc>
          <w:tcPr>
            <w:tcW w:w="910" w:type="dxa"/>
            <w:tcBorders>
              <w:top w:val="nil"/>
              <w:bottom w:val="nil"/>
              <w:right w:val="nil"/>
            </w:tcBorders>
          </w:tcPr>
          <w:p w14:paraId="47921A7C" w14:textId="77777777" w:rsidR="00156C9E" w:rsidRDefault="00156C9E" w:rsidP="00634CA1">
            <w:pPr>
              <w:ind w:left="-75"/>
              <w:jc w:val="center"/>
            </w:pPr>
            <w:r>
              <w:t>Yes</w:t>
            </w:r>
          </w:p>
        </w:tc>
        <w:tc>
          <w:tcPr>
            <w:tcW w:w="910" w:type="dxa"/>
            <w:tcBorders>
              <w:top w:val="nil"/>
              <w:left w:val="nil"/>
              <w:bottom w:val="nil"/>
              <w:right w:val="nil"/>
            </w:tcBorders>
          </w:tcPr>
          <w:p w14:paraId="4B0EEFF2" w14:textId="77777777" w:rsidR="00156C9E" w:rsidRDefault="00156C9E" w:rsidP="00634CA1">
            <w:pPr>
              <w:ind w:left="-75"/>
              <w:jc w:val="center"/>
            </w:pPr>
          </w:p>
        </w:tc>
        <w:tc>
          <w:tcPr>
            <w:tcW w:w="910" w:type="dxa"/>
            <w:tcBorders>
              <w:top w:val="nil"/>
              <w:left w:val="nil"/>
              <w:bottom w:val="nil"/>
              <w:right w:val="nil"/>
            </w:tcBorders>
          </w:tcPr>
          <w:p w14:paraId="1717FC25" w14:textId="77777777" w:rsidR="00156C9E" w:rsidRDefault="00156C9E" w:rsidP="00634CA1">
            <w:pPr>
              <w:ind w:left="-75"/>
              <w:jc w:val="center"/>
            </w:pPr>
          </w:p>
        </w:tc>
        <w:tc>
          <w:tcPr>
            <w:tcW w:w="911" w:type="dxa"/>
            <w:tcBorders>
              <w:top w:val="nil"/>
              <w:left w:val="nil"/>
              <w:bottom w:val="nil"/>
              <w:right w:val="nil"/>
            </w:tcBorders>
          </w:tcPr>
          <w:p w14:paraId="0E30DA22" w14:textId="77777777" w:rsidR="00156C9E" w:rsidRDefault="00156C9E" w:rsidP="00634CA1">
            <w:pPr>
              <w:ind w:left="-75"/>
              <w:jc w:val="center"/>
            </w:pPr>
          </w:p>
        </w:tc>
        <w:tc>
          <w:tcPr>
            <w:tcW w:w="910" w:type="dxa"/>
            <w:tcBorders>
              <w:top w:val="nil"/>
              <w:left w:val="nil"/>
              <w:bottom w:val="nil"/>
              <w:right w:val="nil"/>
            </w:tcBorders>
          </w:tcPr>
          <w:p w14:paraId="032CF0CB" w14:textId="77777777" w:rsidR="00156C9E" w:rsidRDefault="00156C9E" w:rsidP="00634CA1">
            <w:pPr>
              <w:ind w:left="-75"/>
              <w:jc w:val="center"/>
            </w:pPr>
          </w:p>
        </w:tc>
        <w:tc>
          <w:tcPr>
            <w:tcW w:w="910" w:type="dxa"/>
            <w:tcBorders>
              <w:top w:val="nil"/>
              <w:left w:val="nil"/>
              <w:bottom w:val="nil"/>
              <w:right w:val="nil"/>
            </w:tcBorders>
          </w:tcPr>
          <w:p w14:paraId="6E1E5630" w14:textId="77777777" w:rsidR="00156C9E" w:rsidRDefault="00156C9E" w:rsidP="00634CA1">
            <w:pPr>
              <w:ind w:left="-75"/>
              <w:jc w:val="center"/>
            </w:pPr>
          </w:p>
        </w:tc>
        <w:tc>
          <w:tcPr>
            <w:tcW w:w="911" w:type="dxa"/>
            <w:tcBorders>
              <w:top w:val="nil"/>
              <w:left w:val="nil"/>
              <w:bottom w:val="nil"/>
            </w:tcBorders>
          </w:tcPr>
          <w:p w14:paraId="1CDD635B" w14:textId="77777777" w:rsidR="00156C9E" w:rsidRDefault="00156C9E" w:rsidP="00634CA1">
            <w:pPr>
              <w:ind w:left="-75"/>
              <w:jc w:val="center"/>
            </w:pPr>
          </w:p>
        </w:tc>
      </w:tr>
      <w:tr w:rsidR="00156C9E" w14:paraId="4D7FF21F" w14:textId="77777777" w:rsidTr="00634CA1">
        <w:tc>
          <w:tcPr>
            <w:tcW w:w="2122" w:type="dxa"/>
            <w:tcBorders>
              <w:top w:val="nil"/>
              <w:bottom w:val="nil"/>
            </w:tcBorders>
          </w:tcPr>
          <w:p w14:paraId="58CFEADE" w14:textId="77777777" w:rsidR="00156C9E" w:rsidRDefault="00156C9E" w:rsidP="00634CA1">
            <w:pPr>
              <w:ind w:left="-75"/>
            </w:pPr>
            <w:r>
              <w:t>Belgium (KCE)</w:t>
            </w:r>
          </w:p>
        </w:tc>
        <w:tc>
          <w:tcPr>
            <w:tcW w:w="910" w:type="dxa"/>
            <w:tcBorders>
              <w:top w:val="nil"/>
              <w:bottom w:val="nil"/>
              <w:right w:val="nil"/>
            </w:tcBorders>
          </w:tcPr>
          <w:p w14:paraId="3B7224FC" w14:textId="77777777" w:rsidR="00156C9E" w:rsidRDefault="00156C9E" w:rsidP="00634CA1">
            <w:pPr>
              <w:ind w:left="-75"/>
              <w:jc w:val="center"/>
            </w:pPr>
            <w:r>
              <w:t>Yes</w:t>
            </w:r>
          </w:p>
        </w:tc>
        <w:tc>
          <w:tcPr>
            <w:tcW w:w="910" w:type="dxa"/>
            <w:tcBorders>
              <w:top w:val="nil"/>
              <w:left w:val="nil"/>
              <w:bottom w:val="nil"/>
              <w:right w:val="nil"/>
            </w:tcBorders>
          </w:tcPr>
          <w:p w14:paraId="2501A553" w14:textId="77777777" w:rsidR="00156C9E" w:rsidRDefault="00156C9E" w:rsidP="00634CA1">
            <w:pPr>
              <w:ind w:left="-75"/>
              <w:jc w:val="center"/>
            </w:pPr>
            <w:r>
              <w:t>Yes</w:t>
            </w:r>
          </w:p>
        </w:tc>
        <w:tc>
          <w:tcPr>
            <w:tcW w:w="910" w:type="dxa"/>
            <w:tcBorders>
              <w:top w:val="nil"/>
              <w:left w:val="nil"/>
              <w:bottom w:val="nil"/>
              <w:right w:val="nil"/>
            </w:tcBorders>
          </w:tcPr>
          <w:p w14:paraId="4B302975" w14:textId="77777777" w:rsidR="00156C9E" w:rsidRDefault="00156C9E" w:rsidP="00634CA1">
            <w:pPr>
              <w:ind w:left="-75"/>
              <w:jc w:val="center"/>
            </w:pPr>
          </w:p>
        </w:tc>
        <w:tc>
          <w:tcPr>
            <w:tcW w:w="911" w:type="dxa"/>
            <w:tcBorders>
              <w:top w:val="nil"/>
              <w:left w:val="nil"/>
              <w:bottom w:val="nil"/>
              <w:right w:val="nil"/>
            </w:tcBorders>
          </w:tcPr>
          <w:p w14:paraId="11B35236" w14:textId="77777777" w:rsidR="00156C9E" w:rsidRDefault="00156C9E" w:rsidP="00634CA1">
            <w:pPr>
              <w:ind w:left="-75"/>
              <w:jc w:val="center"/>
            </w:pPr>
          </w:p>
        </w:tc>
        <w:tc>
          <w:tcPr>
            <w:tcW w:w="910" w:type="dxa"/>
            <w:tcBorders>
              <w:top w:val="nil"/>
              <w:left w:val="nil"/>
              <w:bottom w:val="nil"/>
              <w:right w:val="nil"/>
            </w:tcBorders>
          </w:tcPr>
          <w:p w14:paraId="276599E4" w14:textId="77777777" w:rsidR="00156C9E" w:rsidRDefault="00156C9E" w:rsidP="00634CA1">
            <w:pPr>
              <w:ind w:left="-75"/>
              <w:jc w:val="center"/>
            </w:pPr>
          </w:p>
        </w:tc>
        <w:tc>
          <w:tcPr>
            <w:tcW w:w="910" w:type="dxa"/>
            <w:tcBorders>
              <w:top w:val="nil"/>
              <w:left w:val="nil"/>
              <w:bottom w:val="nil"/>
              <w:right w:val="nil"/>
            </w:tcBorders>
          </w:tcPr>
          <w:p w14:paraId="7FCD831C" w14:textId="77777777" w:rsidR="00156C9E" w:rsidRDefault="00156C9E" w:rsidP="00634CA1">
            <w:pPr>
              <w:ind w:left="-75"/>
              <w:jc w:val="center"/>
            </w:pPr>
          </w:p>
        </w:tc>
        <w:tc>
          <w:tcPr>
            <w:tcW w:w="911" w:type="dxa"/>
            <w:tcBorders>
              <w:top w:val="nil"/>
              <w:left w:val="nil"/>
              <w:bottom w:val="nil"/>
            </w:tcBorders>
          </w:tcPr>
          <w:p w14:paraId="0A2BCDB9" w14:textId="77777777" w:rsidR="00156C9E" w:rsidRDefault="00156C9E" w:rsidP="00634CA1">
            <w:pPr>
              <w:ind w:left="-75"/>
              <w:jc w:val="center"/>
            </w:pPr>
          </w:p>
        </w:tc>
      </w:tr>
      <w:tr w:rsidR="00156C9E" w14:paraId="55DDD169" w14:textId="77777777" w:rsidTr="00634CA1">
        <w:tc>
          <w:tcPr>
            <w:tcW w:w="2122" w:type="dxa"/>
            <w:tcBorders>
              <w:top w:val="nil"/>
              <w:bottom w:val="nil"/>
            </w:tcBorders>
          </w:tcPr>
          <w:p w14:paraId="407866C7" w14:textId="77777777" w:rsidR="00156C9E" w:rsidRDefault="00156C9E" w:rsidP="00634CA1">
            <w:pPr>
              <w:ind w:left="-75"/>
            </w:pPr>
            <w:r>
              <w:t>Spain (</w:t>
            </w:r>
            <w:proofErr w:type="spellStart"/>
            <w:r>
              <w:t>CatSalut</w:t>
            </w:r>
            <w:proofErr w:type="spellEnd"/>
            <w:r>
              <w:t>)</w:t>
            </w:r>
          </w:p>
        </w:tc>
        <w:tc>
          <w:tcPr>
            <w:tcW w:w="910" w:type="dxa"/>
            <w:tcBorders>
              <w:top w:val="nil"/>
              <w:bottom w:val="nil"/>
              <w:right w:val="nil"/>
            </w:tcBorders>
          </w:tcPr>
          <w:p w14:paraId="660BC020" w14:textId="77777777" w:rsidR="00156C9E" w:rsidRDefault="00156C9E" w:rsidP="00634CA1">
            <w:pPr>
              <w:ind w:left="-75"/>
              <w:jc w:val="center"/>
            </w:pPr>
            <w:r>
              <w:t>Yes</w:t>
            </w:r>
          </w:p>
        </w:tc>
        <w:tc>
          <w:tcPr>
            <w:tcW w:w="910" w:type="dxa"/>
            <w:tcBorders>
              <w:top w:val="nil"/>
              <w:left w:val="nil"/>
              <w:bottom w:val="nil"/>
              <w:right w:val="nil"/>
            </w:tcBorders>
          </w:tcPr>
          <w:p w14:paraId="6BD671AD" w14:textId="77777777" w:rsidR="00156C9E" w:rsidRDefault="00156C9E" w:rsidP="00634CA1">
            <w:pPr>
              <w:ind w:left="-75"/>
              <w:jc w:val="center"/>
            </w:pPr>
            <w:r>
              <w:t>Yes</w:t>
            </w:r>
          </w:p>
        </w:tc>
        <w:tc>
          <w:tcPr>
            <w:tcW w:w="910" w:type="dxa"/>
            <w:tcBorders>
              <w:top w:val="nil"/>
              <w:left w:val="nil"/>
              <w:bottom w:val="nil"/>
              <w:right w:val="nil"/>
            </w:tcBorders>
          </w:tcPr>
          <w:p w14:paraId="1CD3E2D3" w14:textId="77777777" w:rsidR="00156C9E" w:rsidRDefault="00156C9E" w:rsidP="00634CA1">
            <w:pPr>
              <w:ind w:left="-75"/>
              <w:jc w:val="center"/>
            </w:pPr>
            <w:r>
              <w:t>Yes</w:t>
            </w:r>
          </w:p>
        </w:tc>
        <w:tc>
          <w:tcPr>
            <w:tcW w:w="911" w:type="dxa"/>
            <w:tcBorders>
              <w:top w:val="nil"/>
              <w:left w:val="nil"/>
              <w:bottom w:val="nil"/>
              <w:right w:val="nil"/>
            </w:tcBorders>
          </w:tcPr>
          <w:p w14:paraId="07B17E90" w14:textId="77777777" w:rsidR="00156C9E" w:rsidRDefault="00156C9E" w:rsidP="00634CA1">
            <w:pPr>
              <w:ind w:left="-75"/>
              <w:jc w:val="center"/>
            </w:pPr>
          </w:p>
        </w:tc>
        <w:tc>
          <w:tcPr>
            <w:tcW w:w="910" w:type="dxa"/>
            <w:tcBorders>
              <w:top w:val="nil"/>
              <w:left w:val="nil"/>
              <w:bottom w:val="nil"/>
              <w:right w:val="nil"/>
            </w:tcBorders>
          </w:tcPr>
          <w:p w14:paraId="3F511FD9" w14:textId="77777777" w:rsidR="00156C9E" w:rsidRDefault="00156C9E" w:rsidP="00634CA1">
            <w:pPr>
              <w:ind w:left="-75"/>
              <w:jc w:val="center"/>
            </w:pPr>
          </w:p>
        </w:tc>
        <w:tc>
          <w:tcPr>
            <w:tcW w:w="910" w:type="dxa"/>
            <w:tcBorders>
              <w:top w:val="nil"/>
              <w:left w:val="nil"/>
              <w:bottom w:val="nil"/>
              <w:right w:val="nil"/>
            </w:tcBorders>
          </w:tcPr>
          <w:p w14:paraId="263F90E4" w14:textId="77777777" w:rsidR="00156C9E" w:rsidRDefault="00156C9E" w:rsidP="00634CA1">
            <w:pPr>
              <w:ind w:left="-75"/>
              <w:jc w:val="center"/>
            </w:pPr>
          </w:p>
        </w:tc>
        <w:tc>
          <w:tcPr>
            <w:tcW w:w="911" w:type="dxa"/>
            <w:tcBorders>
              <w:top w:val="nil"/>
              <w:left w:val="nil"/>
              <w:bottom w:val="nil"/>
            </w:tcBorders>
          </w:tcPr>
          <w:p w14:paraId="6FA6321F" w14:textId="77777777" w:rsidR="00156C9E" w:rsidRDefault="00156C9E" w:rsidP="00634CA1">
            <w:pPr>
              <w:ind w:left="-75"/>
              <w:jc w:val="center"/>
            </w:pPr>
          </w:p>
        </w:tc>
      </w:tr>
      <w:tr w:rsidR="00156C9E" w14:paraId="10F44425" w14:textId="77777777" w:rsidTr="00634CA1">
        <w:tc>
          <w:tcPr>
            <w:tcW w:w="2122" w:type="dxa"/>
            <w:tcBorders>
              <w:top w:val="nil"/>
            </w:tcBorders>
          </w:tcPr>
          <w:p w14:paraId="39B7969E" w14:textId="77777777" w:rsidR="00156C9E" w:rsidRDefault="00156C9E" w:rsidP="00634CA1">
            <w:pPr>
              <w:ind w:left="-75"/>
            </w:pPr>
            <w:r>
              <w:t>Japan (C2H)</w:t>
            </w:r>
          </w:p>
        </w:tc>
        <w:tc>
          <w:tcPr>
            <w:tcW w:w="910" w:type="dxa"/>
            <w:tcBorders>
              <w:top w:val="nil"/>
              <w:right w:val="nil"/>
            </w:tcBorders>
          </w:tcPr>
          <w:p w14:paraId="5319ED56" w14:textId="77777777" w:rsidR="00156C9E" w:rsidRDefault="00156C9E" w:rsidP="00634CA1">
            <w:pPr>
              <w:ind w:left="-75"/>
              <w:jc w:val="center"/>
            </w:pPr>
            <w:r>
              <w:t>Yes</w:t>
            </w:r>
          </w:p>
        </w:tc>
        <w:tc>
          <w:tcPr>
            <w:tcW w:w="910" w:type="dxa"/>
            <w:tcBorders>
              <w:top w:val="nil"/>
              <w:left w:val="nil"/>
              <w:right w:val="nil"/>
            </w:tcBorders>
          </w:tcPr>
          <w:p w14:paraId="24B2D017" w14:textId="77777777" w:rsidR="00156C9E" w:rsidRDefault="00156C9E" w:rsidP="00634CA1">
            <w:pPr>
              <w:ind w:left="-75"/>
              <w:jc w:val="center"/>
            </w:pPr>
          </w:p>
        </w:tc>
        <w:tc>
          <w:tcPr>
            <w:tcW w:w="910" w:type="dxa"/>
            <w:tcBorders>
              <w:top w:val="nil"/>
              <w:left w:val="nil"/>
              <w:right w:val="nil"/>
            </w:tcBorders>
          </w:tcPr>
          <w:p w14:paraId="7AE5BFA5" w14:textId="77777777" w:rsidR="00156C9E" w:rsidRDefault="00156C9E" w:rsidP="00634CA1">
            <w:pPr>
              <w:ind w:left="-75"/>
              <w:jc w:val="center"/>
            </w:pPr>
          </w:p>
        </w:tc>
        <w:tc>
          <w:tcPr>
            <w:tcW w:w="911" w:type="dxa"/>
            <w:tcBorders>
              <w:top w:val="nil"/>
              <w:left w:val="nil"/>
              <w:right w:val="nil"/>
            </w:tcBorders>
          </w:tcPr>
          <w:p w14:paraId="5AF60D1C" w14:textId="77777777" w:rsidR="00156C9E" w:rsidRDefault="00156C9E" w:rsidP="00634CA1">
            <w:pPr>
              <w:ind w:left="-75"/>
              <w:jc w:val="center"/>
            </w:pPr>
          </w:p>
        </w:tc>
        <w:tc>
          <w:tcPr>
            <w:tcW w:w="910" w:type="dxa"/>
            <w:tcBorders>
              <w:top w:val="nil"/>
              <w:left w:val="nil"/>
              <w:right w:val="nil"/>
            </w:tcBorders>
          </w:tcPr>
          <w:p w14:paraId="2C61C1DE" w14:textId="77777777" w:rsidR="00156C9E" w:rsidRDefault="00156C9E" w:rsidP="00634CA1">
            <w:pPr>
              <w:ind w:left="-75"/>
              <w:jc w:val="center"/>
            </w:pPr>
          </w:p>
        </w:tc>
        <w:tc>
          <w:tcPr>
            <w:tcW w:w="910" w:type="dxa"/>
            <w:tcBorders>
              <w:top w:val="nil"/>
              <w:left w:val="nil"/>
              <w:right w:val="nil"/>
            </w:tcBorders>
          </w:tcPr>
          <w:p w14:paraId="3D571B32" w14:textId="77777777" w:rsidR="00156C9E" w:rsidRDefault="00156C9E" w:rsidP="00634CA1">
            <w:pPr>
              <w:ind w:left="-75"/>
              <w:jc w:val="center"/>
            </w:pPr>
          </w:p>
        </w:tc>
        <w:tc>
          <w:tcPr>
            <w:tcW w:w="911" w:type="dxa"/>
            <w:tcBorders>
              <w:top w:val="nil"/>
              <w:left w:val="nil"/>
            </w:tcBorders>
          </w:tcPr>
          <w:p w14:paraId="51BB13D2" w14:textId="77777777" w:rsidR="00156C9E" w:rsidRDefault="00156C9E" w:rsidP="00634CA1">
            <w:pPr>
              <w:ind w:left="-75"/>
              <w:jc w:val="center"/>
            </w:pPr>
          </w:p>
        </w:tc>
      </w:tr>
      <w:tr w:rsidR="00156C9E" w14:paraId="0AD092B7" w14:textId="77777777" w:rsidTr="00634CA1">
        <w:tc>
          <w:tcPr>
            <w:tcW w:w="8494" w:type="dxa"/>
            <w:gridSpan w:val="8"/>
          </w:tcPr>
          <w:p w14:paraId="05E705A7" w14:textId="77777777" w:rsidR="00156C9E" w:rsidRDefault="00156C9E" w:rsidP="00634CA1">
            <w:pPr>
              <w:ind w:left="-75"/>
            </w:pPr>
            <w:r w:rsidRPr="004A45DE">
              <w:rPr>
                <w:b/>
              </w:rPr>
              <w:t xml:space="preserve">No </w:t>
            </w:r>
            <w:r>
              <w:rPr>
                <w:b/>
              </w:rPr>
              <w:t>specific recommendations</w:t>
            </w:r>
            <w:r w:rsidRPr="004A45DE">
              <w:rPr>
                <w:b/>
              </w:rPr>
              <w:t xml:space="preserve"> </w:t>
            </w:r>
            <w:r>
              <w:rPr>
                <w:b/>
              </w:rPr>
              <w:t>but examples provided</w:t>
            </w:r>
          </w:p>
        </w:tc>
      </w:tr>
      <w:tr w:rsidR="00156C9E" w14:paraId="77C86A11" w14:textId="77777777" w:rsidTr="00634CA1">
        <w:tc>
          <w:tcPr>
            <w:tcW w:w="2122" w:type="dxa"/>
            <w:tcBorders>
              <w:bottom w:val="nil"/>
            </w:tcBorders>
          </w:tcPr>
          <w:p w14:paraId="7E992F0C" w14:textId="77777777" w:rsidR="00156C9E" w:rsidRDefault="00156C9E" w:rsidP="00634CA1">
            <w:pPr>
              <w:ind w:left="-75"/>
            </w:pPr>
            <w:r>
              <w:t>Australia (PBAC/MSAC)</w:t>
            </w:r>
          </w:p>
        </w:tc>
        <w:tc>
          <w:tcPr>
            <w:tcW w:w="910" w:type="dxa"/>
            <w:tcBorders>
              <w:bottom w:val="nil"/>
              <w:right w:val="nil"/>
            </w:tcBorders>
          </w:tcPr>
          <w:p w14:paraId="55AEE4E1" w14:textId="77777777" w:rsidR="00156C9E" w:rsidRDefault="00156C9E" w:rsidP="00634CA1">
            <w:pPr>
              <w:ind w:left="-75"/>
              <w:jc w:val="center"/>
            </w:pPr>
            <w:r>
              <w:t>Yes</w:t>
            </w:r>
          </w:p>
        </w:tc>
        <w:tc>
          <w:tcPr>
            <w:tcW w:w="910" w:type="dxa"/>
            <w:tcBorders>
              <w:left w:val="nil"/>
              <w:bottom w:val="nil"/>
              <w:right w:val="nil"/>
            </w:tcBorders>
          </w:tcPr>
          <w:p w14:paraId="318F7FF4" w14:textId="77777777" w:rsidR="00156C9E" w:rsidRDefault="00156C9E" w:rsidP="00634CA1">
            <w:pPr>
              <w:ind w:left="-75"/>
              <w:jc w:val="center"/>
            </w:pPr>
            <w:r>
              <w:t>Yes</w:t>
            </w:r>
          </w:p>
        </w:tc>
        <w:tc>
          <w:tcPr>
            <w:tcW w:w="910" w:type="dxa"/>
            <w:tcBorders>
              <w:left w:val="nil"/>
              <w:bottom w:val="nil"/>
              <w:right w:val="nil"/>
            </w:tcBorders>
          </w:tcPr>
          <w:p w14:paraId="692C82EA" w14:textId="77777777" w:rsidR="00156C9E" w:rsidRDefault="00156C9E" w:rsidP="00634CA1">
            <w:pPr>
              <w:ind w:left="-75"/>
              <w:jc w:val="center"/>
            </w:pPr>
            <w:r>
              <w:t>Yes</w:t>
            </w:r>
          </w:p>
        </w:tc>
        <w:tc>
          <w:tcPr>
            <w:tcW w:w="911" w:type="dxa"/>
            <w:tcBorders>
              <w:left w:val="nil"/>
              <w:bottom w:val="nil"/>
              <w:right w:val="nil"/>
            </w:tcBorders>
          </w:tcPr>
          <w:p w14:paraId="6BA72B97" w14:textId="77777777" w:rsidR="00156C9E" w:rsidRDefault="00156C9E" w:rsidP="00634CA1">
            <w:pPr>
              <w:ind w:left="-75"/>
              <w:jc w:val="center"/>
            </w:pPr>
            <w:r>
              <w:t>Yes</w:t>
            </w:r>
          </w:p>
        </w:tc>
        <w:tc>
          <w:tcPr>
            <w:tcW w:w="910" w:type="dxa"/>
            <w:tcBorders>
              <w:left w:val="nil"/>
              <w:bottom w:val="nil"/>
              <w:right w:val="nil"/>
            </w:tcBorders>
          </w:tcPr>
          <w:p w14:paraId="07401EDE" w14:textId="77777777" w:rsidR="00156C9E" w:rsidRDefault="00156C9E" w:rsidP="00634CA1">
            <w:pPr>
              <w:ind w:left="-75"/>
              <w:jc w:val="center"/>
            </w:pPr>
          </w:p>
        </w:tc>
        <w:tc>
          <w:tcPr>
            <w:tcW w:w="910" w:type="dxa"/>
            <w:tcBorders>
              <w:left w:val="nil"/>
              <w:bottom w:val="nil"/>
              <w:right w:val="nil"/>
            </w:tcBorders>
          </w:tcPr>
          <w:p w14:paraId="41ECEA6A" w14:textId="77777777" w:rsidR="00156C9E" w:rsidRDefault="00156C9E" w:rsidP="00634CA1">
            <w:pPr>
              <w:ind w:left="-75"/>
              <w:jc w:val="center"/>
            </w:pPr>
            <w:r>
              <w:t>Yes</w:t>
            </w:r>
          </w:p>
        </w:tc>
        <w:tc>
          <w:tcPr>
            <w:tcW w:w="911" w:type="dxa"/>
            <w:tcBorders>
              <w:left w:val="nil"/>
              <w:bottom w:val="nil"/>
            </w:tcBorders>
          </w:tcPr>
          <w:p w14:paraId="38E9AE17" w14:textId="77777777" w:rsidR="00156C9E" w:rsidRDefault="00156C9E" w:rsidP="00634CA1">
            <w:pPr>
              <w:ind w:left="-75"/>
              <w:jc w:val="center"/>
            </w:pPr>
            <w:r>
              <w:t>Yes</w:t>
            </w:r>
          </w:p>
        </w:tc>
      </w:tr>
      <w:tr w:rsidR="00156C9E" w14:paraId="7D8825BF" w14:textId="77777777" w:rsidTr="00634CA1">
        <w:tc>
          <w:tcPr>
            <w:tcW w:w="2122" w:type="dxa"/>
            <w:tcBorders>
              <w:top w:val="nil"/>
              <w:bottom w:val="nil"/>
            </w:tcBorders>
          </w:tcPr>
          <w:p w14:paraId="5E99F37A" w14:textId="77777777" w:rsidR="00156C9E" w:rsidRDefault="00156C9E" w:rsidP="00634CA1">
            <w:pPr>
              <w:ind w:left="-75"/>
            </w:pPr>
            <w:r>
              <w:t>Canada (CADTH)</w:t>
            </w:r>
          </w:p>
        </w:tc>
        <w:tc>
          <w:tcPr>
            <w:tcW w:w="910" w:type="dxa"/>
            <w:tcBorders>
              <w:top w:val="nil"/>
              <w:bottom w:val="nil"/>
              <w:right w:val="nil"/>
            </w:tcBorders>
          </w:tcPr>
          <w:p w14:paraId="531E7F56" w14:textId="77777777" w:rsidR="00156C9E" w:rsidRDefault="00156C9E" w:rsidP="00634CA1">
            <w:pPr>
              <w:ind w:left="-75"/>
              <w:jc w:val="center"/>
            </w:pPr>
            <w:r>
              <w:t>Yes</w:t>
            </w:r>
          </w:p>
        </w:tc>
        <w:tc>
          <w:tcPr>
            <w:tcW w:w="910" w:type="dxa"/>
            <w:tcBorders>
              <w:top w:val="nil"/>
              <w:left w:val="nil"/>
              <w:bottom w:val="nil"/>
              <w:right w:val="nil"/>
            </w:tcBorders>
          </w:tcPr>
          <w:p w14:paraId="5407F549" w14:textId="77777777" w:rsidR="00156C9E" w:rsidRDefault="00156C9E" w:rsidP="00634CA1">
            <w:pPr>
              <w:ind w:left="-75"/>
              <w:jc w:val="center"/>
            </w:pPr>
            <w:r>
              <w:t>Yes</w:t>
            </w:r>
          </w:p>
        </w:tc>
        <w:tc>
          <w:tcPr>
            <w:tcW w:w="910" w:type="dxa"/>
            <w:tcBorders>
              <w:top w:val="nil"/>
              <w:left w:val="nil"/>
              <w:bottom w:val="nil"/>
              <w:right w:val="nil"/>
            </w:tcBorders>
          </w:tcPr>
          <w:p w14:paraId="5059D2B3" w14:textId="77777777" w:rsidR="00156C9E" w:rsidRDefault="00156C9E" w:rsidP="00634CA1">
            <w:pPr>
              <w:ind w:left="-75"/>
              <w:jc w:val="center"/>
            </w:pPr>
            <w:r>
              <w:t>Yes</w:t>
            </w:r>
          </w:p>
        </w:tc>
        <w:tc>
          <w:tcPr>
            <w:tcW w:w="911" w:type="dxa"/>
            <w:tcBorders>
              <w:top w:val="nil"/>
              <w:left w:val="nil"/>
              <w:bottom w:val="nil"/>
              <w:right w:val="nil"/>
            </w:tcBorders>
          </w:tcPr>
          <w:p w14:paraId="20F50D6C" w14:textId="77777777" w:rsidR="00156C9E" w:rsidRDefault="00156C9E" w:rsidP="00634CA1">
            <w:pPr>
              <w:ind w:left="-75"/>
              <w:jc w:val="center"/>
            </w:pPr>
            <w:r>
              <w:t>Yes</w:t>
            </w:r>
          </w:p>
        </w:tc>
        <w:tc>
          <w:tcPr>
            <w:tcW w:w="910" w:type="dxa"/>
            <w:tcBorders>
              <w:top w:val="nil"/>
              <w:left w:val="nil"/>
              <w:bottom w:val="nil"/>
              <w:right w:val="nil"/>
            </w:tcBorders>
          </w:tcPr>
          <w:p w14:paraId="7410AD64" w14:textId="77777777" w:rsidR="00156C9E" w:rsidRDefault="00156C9E" w:rsidP="00634CA1">
            <w:pPr>
              <w:ind w:left="-75"/>
              <w:jc w:val="center"/>
            </w:pPr>
          </w:p>
        </w:tc>
        <w:tc>
          <w:tcPr>
            <w:tcW w:w="910" w:type="dxa"/>
            <w:tcBorders>
              <w:top w:val="nil"/>
              <w:left w:val="nil"/>
              <w:bottom w:val="nil"/>
              <w:right w:val="nil"/>
            </w:tcBorders>
          </w:tcPr>
          <w:p w14:paraId="3ED8C845" w14:textId="77777777" w:rsidR="00156C9E" w:rsidRDefault="00156C9E" w:rsidP="00634CA1">
            <w:pPr>
              <w:ind w:left="-75"/>
              <w:jc w:val="center"/>
            </w:pPr>
          </w:p>
        </w:tc>
        <w:tc>
          <w:tcPr>
            <w:tcW w:w="911" w:type="dxa"/>
            <w:tcBorders>
              <w:top w:val="nil"/>
              <w:left w:val="nil"/>
              <w:bottom w:val="nil"/>
            </w:tcBorders>
          </w:tcPr>
          <w:p w14:paraId="1D87CB1F" w14:textId="77777777" w:rsidR="00156C9E" w:rsidRDefault="00156C9E" w:rsidP="00634CA1">
            <w:pPr>
              <w:ind w:left="-75"/>
              <w:jc w:val="center"/>
            </w:pPr>
          </w:p>
        </w:tc>
      </w:tr>
      <w:tr w:rsidR="00156C9E" w14:paraId="03C8C1E0" w14:textId="77777777" w:rsidTr="00634CA1">
        <w:tc>
          <w:tcPr>
            <w:tcW w:w="2122" w:type="dxa"/>
            <w:tcBorders>
              <w:top w:val="nil"/>
              <w:bottom w:val="nil"/>
            </w:tcBorders>
          </w:tcPr>
          <w:p w14:paraId="6B1D0725" w14:textId="77777777" w:rsidR="00156C9E" w:rsidRDefault="00156C9E" w:rsidP="00634CA1">
            <w:pPr>
              <w:ind w:left="-75"/>
            </w:pPr>
            <w:r>
              <w:t>Sweden (TLV)</w:t>
            </w:r>
          </w:p>
        </w:tc>
        <w:tc>
          <w:tcPr>
            <w:tcW w:w="910" w:type="dxa"/>
            <w:tcBorders>
              <w:top w:val="nil"/>
              <w:bottom w:val="nil"/>
              <w:right w:val="nil"/>
            </w:tcBorders>
          </w:tcPr>
          <w:p w14:paraId="53A812E5" w14:textId="77777777" w:rsidR="00156C9E" w:rsidRDefault="00156C9E" w:rsidP="00634CA1">
            <w:pPr>
              <w:ind w:left="-75"/>
              <w:jc w:val="center"/>
            </w:pPr>
            <w:r>
              <w:t>Yes</w:t>
            </w:r>
          </w:p>
        </w:tc>
        <w:tc>
          <w:tcPr>
            <w:tcW w:w="910" w:type="dxa"/>
            <w:tcBorders>
              <w:top w:val="nil"/>
              <w:left w:val="nil"/>
              <w:bottom w:val="nil"/>
              <w:right w:val="nil"/>
            </w:tcBorders>
          </w:tcPr>
          <w:p w14:paraId="71E9D027" w14:textId="77777777" w:rsidR="00156C9E" w:rsidRDefault="00156C9E" w:rsidP="00634CA1">
            <w:pPr>
              <w:ind w:left="-75"/>
              <w:jc w:val="center"/>
            </w:pPr>
            <w:r>
              <w:t>Yes</w:t>
            </w:r>
          </w:p>
        </w:tc>
        <w:tc>
          <w:tcPr>
            <w:tcW w:w="910" w:type="dxa"/>
            <w:tcBorders>
              <w:top w:val="nil"/>
              <w:left w:val="nil"/>
              <w:bottom w:val="nil"/>
              <w:right w:val="nil"/>
            </w:tcBorders>
          </w:tcPr>
          <w:p w14:paraId="31E356C3" w14:textId="77777777" w:rsidR="00156C9E" w:rsidRDefault="00156C9E" w:rsidP="00634CA1">
            <w:pPr>
              <w:ind w:left="-75"/>
              <w:jc w:val="center"/>
            </w:pPr>
          </w:p>
        </w:tc>
        <w:tc>
          <w:tcPr>
            <w:tcW w:w="911" w:type="dxa"/>
            <w:tcBorders>
              <w:top w:val="nil"/>
              <w:left w:val="nil"/>
              <w:bottom w:val="nil"/>
              <w:right w:val="nil"/>
            </w:tcBorders>
          </w:tcPr>
          <w:p w14:paraId="79845492" w14:textId="77777777" w:rsidR="00156C9E" w:rsidRDefault="00156C9E" w:rsidP="00634CA1">
            <w:pPr>
              <w:ind w:left="-75"/>
              <w:jc w:val="center"/>
            </w:pPr>
          </w:p>
        </w:tc>
        <w:tc>
          <w:tcPr>
            <w:tcW w:w="910" w:type="dxa"/>
            <w:tcBorders>
              <w:top w:val="nil"/>
              <w:left w:val="nil"/>
              <w:bottom w:val="nil"/>
              <w:right w:val="nil"/>
            </w:tcBorders>
          </w:tcPr>
          <w:p w14:paraId="64AD6E28" w14:textId="77777777" w:rsidR="00156C9E" w:rsidRDefault="00156C9E" w:rsidP="00634CA1">
            <w:pPr>
              <w:ind w:left="-75"/>
              <w:jc w:val="center"/>
            </w:pPr>
          </w:p>
        </w:tc>
        <w:tc>
          <w:tcPr>
            <w:tcW w:w="910" w:type="dxa"/>
            <w:tcBorders>
              <w:top w:val="nil"/>
              <w:left w:val="nil"/>
              <w:bottom w:val="nil"/>
              <w:right w:val="nil"/>
            </w:tcBorders>
          </w:tcPr>
          <w:p w14:paraId="6C67DDF4" w14:textId="77777777" w:rsidR="00156C9E" w:rsidRDefault="00156C9E" w:rsidP="00634CA1">
            <w:pPr>
              <w:ind w:left="-75"/>
              <w:jc w:val="center"/>
            </w:pPr>
          </w:p>
        </w:tc>
        <w:tc>
          <w:tcPr>
            <w:tcW w:w="911" w:type="dxa"/>
            <w:tcBorders>
              <w:top w:val="nil"/>
              <w:left w:val="nil"/>
              <w:bottom w:val="nil"/>
            </w:tcBorders>
          </w:tcPr>
          <w:p w14:paraId="67BAC948" w14:textId="77777777" w:rsidR="00156C9E" w:rsidRDefault="00156C9E" w:rsidP="00634CA1">
            <w:pPr>
              <w:ind w:left="-75"/>
              <w:jc w:val="center"/>
            </w:pPr>
          </w:p>
        </w:tc>
      </w:tr>
      <w:tr w:rsidR="00156C9E" w14:paraId="75B26F05" w14:textId="77777777" w:rsidTr="00634CA1">
        <w:tc>
          <w:tcPr>
            <w:tcW w:w="2122" w:type="dxa"/>
            <w:tcBorders>
              <w:top w:val="nil"/>
              <w:bottom w:val="nil"/>
            </w:tcBorders>
          </w:tcPr>
          <w:p w14:paraId="47C2655F" w14:textId="77777777" w:rsidR="00156C9E" w:rsidRDefault="00156C9E" w:rsidP="00634CA1">
            <w:pPr>
              <w:ind w:left="-75"/>
            </w:pPr>
            <w:r>
              <w:t>Spain (HTAA)</w:t>
            </w:r>
          </w:p>
        </w:tc>
        <w:tc>
          <w:tcPr>
            <w:tcW w:w="910" w:type="dxa"/>
            <w:tcBorders>
              <w:top w:val="nil"/>
              <w:bottom w:val="nil"/>
              <w:right w:val="nil"/>
            </w:tcBorders>
          </w:tcPr>
          <w:p w14:paraId="07B7D3CB" w14:textId="77777777" w:rsidR="00156C9E" w:rsidRDefault="00156C9E" w:rsidP="00634CA1">
            <w:pPr>
              <w:ind w:left="-75"/>
              <w:jc w:val="center"/>
            </w:pPr>
            <w:r>
              <w:t>Yes</w:t>
            </w:r>
          </w:p>
        </w:tc>
        <w:tc>
          <w:tcPr>
            <w:tcW w:w="910" w:type="dxa"/>
            <w:tcBorders>
              <w:top w:val="nil"/>
              <w:left w:val="nil"/>
              <w:bottom w:val="nil"/>
              <w:right w:val="nil"/>
            </w:tcBorders>
          </w:tcPr>
          <w:p w14:paraId="3244C3E6" w14:textId="77777777" w:rsidR="00156C9E" w:rsidRDefault="00156C9E" w:rsidP="00634CA1">
            <w:pPr>
              <w:ind w:left="-75"/>
              <w:jc w:val="center"/>
            </w:pPr>
            <w:r>
              <w:t>Yes</w:t>
            </w:r>
          </w:p>
        </w:tc>
        <w:tc>
          <w:tcPr>
            <w:tcW w:w="910" w:type="dxa"/>
            <w:tcBorders>
              <w:top w:val="nil"/>
              <w:left w:val="nil"/>
              <w:bottom w:val="nil"/>
              <w:right w:val="nil"/>
            </w:tcBorders>
          </w:tcPr>
          <w:p w14:paraId="131C2E64" w14:textId="77777777" w:rsidR="00156C9E" w:rsidRDefault="00156C9E" w:rsidP="00634CA1">
            <w:pPr>
              <w:ind w:left="-75"/>
              <w:jc w:val="center"/>
            </w:pPr>
            <w:r>
              <w:t>Yes</w:t>
            </w:r>
          </w:p>
        </w:tc>
        <w:tc>
          <w:tcPr>
            <w:tcW w:w="911" w:type="dxa"/>
            <w:tcBorders>
              <w:top w:val="nil"/>
              <w:left w:val="nil"/>
              <w:bottom w:val="nil"/>
              <w:right w:val="nil"/>
            </w:tcBorders>
          </w:tcPr>
          <w:p w14:paraId="3B2C7205" w14:textId="77777777" w:rsidR="00156C9E" w:rsidRDefault="00156C9E" w:rsidP="00634CA1">
            <w:pPr>
              <w:ind w:left="-75"/>
              <w:jc w:val="center"/>
            </w:pPr>
            <w:r>
              <w:t>Yes</w:t>
            </w:r>
          </w:p>
        </w:tc>
        <w:tc>
          <w:tcPr>
            <w:tcW w:w="910" w:type="dxa"/>
            <w:tcBorders>
              <w:top w:val="nil"/>
              <w:left w:val="nil"/>
              <w:bottom w:val="nil"/>
              <w:right w:val="nil"/>
            </w:tcBorders>
          </w:tcPr>
          <w:p w14:paraId="331EEC6E" w14:textId="77777777" w:rsidR="00156C9E" w:rsidRDefault="00156C9E" w:rsidP="00634CA1">
            <w:pPr>
              <w:ind w:left="-75"/>
              <w:jc w:val="center"/>
            </w:pPr>
          </w:p>
        </w:tc>
        <w:tc>
          <w:tcPr>
            <w:tcW w:w="910" w:type="dxa"/>
            <w:tcBorders>
              <w:top w:val="nil"/>
              <w:left w:val="nil"/>
              <w:bottom w:val="nil"/>
              <w:right w:val="nil"/>
            </w:tcBorders>
          </w:tcPr>
          <w:p w14:paraId="4460FDCB" w14:textId="77777777" w:rsidR="00156C9E" w:rsidRDefault="00156C9E" w:rsidP="00634CA1">
            <w:pPr>
              <w:ind w:left="-75"/>
              <w:jc w:val="center"/>
            </w:pPr>
          </w:p>
        </w:tc>
        <w:tc>
          <w:tcPr>
            <w:tcW w:w="911" w:type="dxa"/>
            <w:tcBorders>
              <w:top w:val="nil"/>
              <w:left w:val="nil"/>
              <w:bottom w:val="nil"/>
            </w:tcBorders>
          </w:tcPr>
          <w:p w14:paraId="57F539AC" w14:textId="77777777" w:rsidR="00156C9E" w:rsidRDefault="00156C9E" w:rsidP="00634CA1">
            <w:pPr>
              <w:ind w:left="-75"/>
              <w:jc w:val="center"/>
            </w:pPr>
          </w:p>
        </w:tc>
      </w:tr>
      <w:tr w:rsidR="00156C9E" w14:paraId="033AEA32" w14:textId="77777777" w:rsidTr="00634CA1">
        <w:tc>
          <w:tcPr>
            <w:tcW w:w="2122" w:type="dxa"/>
            <w:tcBorders>
              <w:top w:val="nil"/>
              <w:bottom w:val="nil"/>
            </w:tcBorders>
          </w:tcPr>
          <w:p w14:paraId="595A1677" w14:textId="77777777" w:rsidR="00156C9E" w:rsidRDefault="00156C9E" w:rsidP="00634CA1">
            <w:pPr>
              <w:ind w:left="-75"/>
            </w:pPr>
            <w:r>
              <w:t>South Korea (HIRA)</w:t>
            </w:r>
          </w:p>
        </w:tc>
        <w:tc>
          <w:tcPr>
            <w:tcW w:w="910" w:type="dxa"/>
            <w:tcBorders>
              <w:top w:val="nil"/>
              <w:bottom w:val="nil"/>
              <w:right w:val="nil"/>
            </w:tcBorders>
          </w:tcPr>
          <w:p w14:paraId="701CB29D" w14:textId="77777777" w:rsidR="00156C9E" w:rsidRDefault="00156C9E" w:rsidP="00634CA1">
            <w:pPr>
              <w:ind w:left="-75"/>
              <w:jc w:val="center"/>
            </w:pPr>
            <w:r>
              <w:t>Yes</w:t>
            </w:r>
          </w:p>
        </w:tc>
        <w:tc>
          <w:tcPr>
            <w:tcW w:w="910" w:type="dxa"/>
            <w:tcBorders>
              <w:top w:val="nil"/>
              <w:left w:val="nil"/>
              <w:bottom w:val="nil"/>
              <w:right w:val="nil"/>
            </w:tcBorders>
          </w:tcPr>
          <w:p w14:paraId="17FD13A5" w14:textId="77777777" w:rsidR="00156C9E" w:rsidRDefault="00156C9E" w:rsidP="00634CA1">
            <w:pPr>
              <w:ind w:left="-75"/>
              <w:jc w:val="center"/>
            </w:pPr>
            <w:r>
              <w:t>Yes</w:t>
            </w:r>
          </w:p>
        </w:tc>
        <w:tc>
          <w:tcPr>
            <w:tcW w:w="910" w:type="dxa"/>
            <w:tcBorders>
              <w:top w:val="nil"/>
              <w:left w:val="nil"/>
              <w:bottom w:val="nil"/>
              <w:right w:val="nil"/>
            </w:tcBorders>
          </w:tcPr>
          <w:p w14:paraId="62E755EA" w14:textId="77777777" w:rsidR="00156C9E" w:rsidRDefault="00156C9E" w:rsidP="00634CA1">
            <w:pPr>
              <w:ind w:left="-75"/>
              <w:jc w:val="center"/>
            </w:pPr>
            <w:r>
              <w:t>Yes</w:t>
            </w:r>
          </w:p>
        </w:tc>
        <w:tc>
          <w:tcPr>
            <w:tcW w:w="911" w:type="dxa"/>
            <w:tcBorders>
              <w:top w:val="nil"/>
              <w:left w:val="nil"/>
              <w:bottom w:val="nil"/>
              <w:right w:val="nil"/>
            </w:tcBorders>
          </w:tcPr>
          <w:p w14:paraId="5FD7DBF4" w14:textId="77777777" w:rsidR="00156C9E" w:rsidRDefault="00156C9E" w:rsidP="00634CA1">
            <w:pPr>
              <w:ind w:left="-75"/>
              <w:jc w:val="center"/>
            </w:pPr>
            <w:r>
              <w:t>Yes</w:t>
            </w:r>
          </w:p>
        </w:tc>
        <w:tc>
          <w:tcPr>
            <w:tcW w:w="910" w:type="dxa"/>
            <w:tcBorders>
              <w:top w:val="nil"/>
              <w:left w:val="nil"/>
              <w:bottom w:val="nil"/>
              <w:right w:val="nil"/>
            </w:tcBorders>
          </w:tcPr>
          <w:p w14:paraId="771E19B2" w14:textId="77777777" w:rsidR="00156C9E" w:rsidRDefault="00156C9E" w:rsidP="00634CA1">
            <w:pPr>
              <w:ind w:left="-75"/>
              <w:jc w:val="center"/>
            </w:pPr>
          </w:p>
        </w:tc>
        <w:tc>
          <w:tcPr>
            <w:tcW w:w="910" w:type="dxa"/>
            <w:tcBorders>
              <w:top w:val="nil"/>
              <w:left w:val="nil"/>
              <w:bottom w:val="nil"/>
              <w:right w:val="nil"/>
            </w:tcBorders>
          </w:tcPr>
          <w:p w14:paraId="58CCBDBE" w14:textId="77777777" w:rsidR="00156C9E" w:rsidRDefault="00156C9E" w:rsidP="00634CA1">
            <w:pPr>
              <w:ind w:left="-75"/>
              <w:jc w:val="center"/>
            </w:pPr>
          </w:p>
        </w:tc>
        <w:tc>
          <w:tcPr>
            <w:tcW w:w="911" w:type="dxa"/>
            <w:tcBorders>
              <w:top w:val="nil"/>
              <w:left w:val="nil"/>
              <w:bottom w:val="nil"/>
            </w:tcBorders>
          </w:tcPr>
          <w:p w14:paraId="41981A6F" w14:textId="77777777" w:rsidR="00156C9E" w:rsidRDefault="00156C9E" w:rsidP="00634CA1">
            <w:pPr>
              <w:ind w:left="-75"/>
              <w:jc w:val="center"/>
            </w:pPr>
          </w:p>
        </w:tc>
      </w:tr>
      <w:tr w:rsidR="00156C9E" w14:paraId="3D4D0200" w14:textId="77777777" w:rsidTr="00634CA1">
        <w:tc>
          <w:tcPr>
            <w:tcW w:w="2122" w:type="dxa"/>
            <w:tcBorders>
              <w:top w:val="nil"/>
              <w:bottom w:val="nil"/>
            </w:tcBorders>
          </w:tcPr>
          <w:p w14:paraId="063739CA" w14:textId="77777777" w:rsidR="00156C9E" w:rsidRDefault="00156C9E" w:rsidP="00634CA1">
            <w:pPr>
              <w:ind w:left="-75"/>
            </w:pPr>
            <w:r>
              <w:t>Singapore (ACE)</w:t>
            </w:r>
          </w:p>
        </w:tc>
        <w:tc>
          <w:tcPr>
            <w:tcW w:w="910" w:type="dxa"/>
            <w:tcBorders>
              <w:top w:val="nil"/>
              <w:bottom w:val="nil"/>
              <w:right w:val="nil"/>
            </w:tcBorders>
          </w:tcPr>
          <w:p w14:paraId="0FB0A1A7" w14:textId="77777777" w:rsidR="00156C9E" w:rsidRDefault="00156C9E" w:rsidP="00634CA1">
            <w:pPr>
              <w:ind w:left="-75"/>
              <w:jc w:val="center"/>
            </w:pPr>
            <w:r>
              <w:t>Yes</w:t>
            </w:r>
          </w:p>
        </w:tc>
        <w:tc>
          <w:tcPr>
            <w:tcW w:w="910" w:type="dxa"/>
            <w:tcBorders>
              <w:top w:val="nil"/>
              <w:left w:val="nil"/>
              <w:bottom w:val="nil"/>
              <w:right w:val="nil"/>
            </w:tcBorders>
          </w:tcPr>
          <w:p w14:paraId="06362EAC" w14:textId="77777777" w:rsidR="00156C9E" w:rsidRDefault="00156C9E" w:rsidP="00634CA1">
            <w:pPr>
              <w:ind w:left="-75"/>
              <w:jc w:val="center"/>
            </w:pPr>
            <w:r>
              <w:t>Yes</w:t>
            </w:r>
          </w:p>
        </w:tc>
        <w:tc>
          <w:tcPr>
            <w:tcW w:w="910" w:type="dxa"/>
            <w:tcBorders>
              <w:top w:val="nil"/>
              <w:left w:val="nil"/>
              <w:bottom w:val="nil"/>
              <w:right w:val="nil"/>
            </w:tcBorders>
          </w:tcPr>
          <w:p w14:paraId="67A92AC0" w14:textId="77777777" w:rsidR="00156C9E" w:rsidRDefault="00156C9E" w:rsidP="00634CA1">
            <w:pPr>
              <w:ind w:left="-75"/>
              <w:jc w:val="center"/>
            </w:pPr>
            <w:r>
              <w:t>Yes</w:t>
            </w:r>
          </w:p>
        </w:tc>
        <w:tc>
          <w:tcPr>
            <w:tcW w:w="911" w:type="dxa"/>
            <w:tcBorders>
              <w:top w:val="nil"/>
              <w:left w:val="nil"/>
              <w:bottom w:val="nil"/>
              <w:right w:val="nil"/>
            </w:tcBorders>
          </w:tcPr>
          <w:p w14:paraId="5FD9FB07" w14:textId="77777777" w:rsidR="00156C9E" w:rsidRDefault="00156C9E" w:rsidP="00634CA1">
            <w:pPr>
              <w:ind w:left="-75"/>
              <w:jc w:val="center"/>
            </w:pPr>
            <w:r>
              <w:t>Yes</w:t>
            </w:r>
          </w:p>
        </w:tc>
        <w:tc>
          <w:tcPr>
            <w:tcW w:w="910" w:type="dxa"/>
            <w:tcBorders>
              <w:top w:val="nil"/>
              <w:left w:val="nil"/>
              <w:bottom w:val="nil"/>
              <w:right w:val="nil"/>
            </w:tcBorders>
          </w:tcPr>
          <w:p w14:paraId="488013A9" w14:textId="77777777" w:rsidR="00156C9E" w:rsidRDefault="00156C9E" w:rsidP="00634CA1">
            <w:pPr>
              <w:ind w:left="-75"/>
              <w:jc w:val="center"/>
            </w:pPr>
          </w:p>
        </w:tc>
        <w:tc>
          <w:tcPr>
            <w:tcW w:w="910" w:type="dxa"/>
            <w:tcBorders>
              <w:top w:val="nil"/>
              <w:left w:val="nil"/>
              <w:bottom w:val="nil"/>
              <w:right w:val="nil"/>
            </w:tcBorders>
          </w:tcPr>
          <w:p w14:paraId="747F053F" w14:textId="77777777" w:rsidR="00156C9E" w:rsidRDefault="00156C9E" w:rsidP="00634CA1">
            <w:pPr>
              <w:ind w:left="-75"/>
              <w:jc w:val="center"/>
            </w:pPr>
            <w:r>
              <w:t>Yes</w:t>
            </w:r>
          </w:p>
        </w:tc>
        <w:tc>
          <w:tcPr>
            <w:tcW w:w="911" w:type="dxa"/>
            <w:tcBorders>
              <w:top w:val="nil"/>
              <w:left w:val="nil"/>
              <w:bottom w:val="nil"/>
            </w:tcBorders>
          </w:tcPr>
          <w:p w14:paraId="47F92D55" w14:textId="77777777" w:rsidR="00156C9E" w:rsidRDefault="00156C9E" w:rsidP="00634CA1">
            <w:pPr>
              <w:ind w:left="-75"/>
              <w:jc w:val="center"/>
            </w:pPr>
          </w:p>
        </w:tc>
      </w:tr>
      <w:tr w:rsidR="00156C9E" w14:paraId="0E0C5CE4" w14:textId="77777777" w:rsidTr="00634CA1">
        <w:tc>
          <w:tcPr>
            <w:tcW w:w="2122" w:type="dxa"/>
            <w:tcBorders>
              <w:top w:val="nil"/>
            </w:tcBorders>
          </w:tcPr>
          <w:p w14:paraId="4E5297F6" w14:textId="77777777" w:rsidR="00156C9E" w:rsidRDefault="00156C9E" w:rsidP="00634CA1">
            <w:pPr>
              <w:ind w:left="-75"/>
            </w:pPr>
            <w:r>
              <w:t>Taiwan (CDE)</w:t>
            </w:r>
          </w:p>
        </w:tc>
        <w:tc>
          <w:tcPr>
            <w:tcW w:w="910" w:type="dxa"/>
            <w:tcBorders>
              <w:top w:val="nil"/>
              <w:right w:val="nil"/>
            </w:tcBorders>
          </w:tcPr>
          <w:p w14:paraId="519C89AA" w14:textId="77777777" w:rsidR="00156C9E" w:rsidRDefault="00156C9E" w:rsidP="00634CA1">
            <w:pPr>
              <w:ind w:left="-75"/>
              <w:jc w:val="center"/>
            </w:pPr>
            <w:r>
              <w:t>Yes</w:t>
            </w:r>
          </w:p>
        </w:tc>
        <w:tc>
          <w:tcPr>
            <w:tcW w:w="910" w:type="dxa"/>
            <w:tcBorders>
              <w:top w:val="nil"/>
              <w:left w:val="nil"/>
              <w:right w:val="nil"/>
            </w:tcBorders>
          </w:tcPr>
          <w:p w14:paraId="7D5A1BAA" w14:textId="77777777" w:rsidR="00156C9E" w:rsidRDefault="00156C9E" w:rsidP="00634CA1">
            <w:pPr>
              <w:ind w:left="-75"/>
              <w:jc w:val="center"/>
            </w:pPr>
            <w:r>
              <w:t>Yes</w:t>
            </w:r>
          </w:p>
        </w:tc>
        <w:tc>
          <w:tcPr>
            <w:tcW w:w="910" w:type="dxa"/>
            <w:tcBorders>
              <w:top w:val="nil"/>
              <w:left w:val="nil"/>
              <w:right w:val="nil"/>
            </w:tcBorders>
          </w:tcPr>
          <w:p w14:paraId="04E451F5" w14:textId="77777777" w:rsidR="00156C9E" w:rsidRDefault="00156C9E" w:rsidP="00634CA1">
            <w:pPr>
              <w:ind w:left="-75"/>
              <w:jc w:val="center"/>
            </w:pPr>
          </w:p>
        </w:tc>
        <w:tc>
          <w:tcPr>
            <w:tcW w:w="911" w:type="dxa"/>
            <w:tcBorders>
              <w:top w:val="nil"/>
              <w:left w:val="nil"/>
              <w:right w:val="nil"/>
            </w:tcBorders>
          </w:tcPr>
          <w:p w14:paraId="4628C798" w14:textId="77777777" w:rsidR="00156C9E" w:rsidRDefault="00156C9E" w:rsidP="00634CA1">
            <w:pPr>
              <w:ind w:left="-75"/>
              <w:jc w:val="center"/>
            </w:pPr>
            <w:r>
              <w:t>Yes</w:t>
            </w:r>
          </w:p>
        </w:tc>
        <w:tc>
          <w:tcPr>
            <w:tcW w:w="910" w:type="dxa"/>
            <w:tcBorders>
              <w:top w:val="nil"/>
              <w:left w:val="nil"/>
              <w:right w:val="nil"/>
            </w:tcBorders>
          </w:tcPr>
          <w:p w14:paraId="257DF6C6" w14:textId="77777777" w:rsidR="00156C9E" w:rsidRDefault="00156C9E" w:rsidP="00634CA1">
            <w:pPr>
              <w:ind w:left="-75"/>
              <w:jc w:val="center"/>
            </w:pPr>
            <w:r>
              <w:t>Yes</w:t>
            </w:r>
          </w:p>
        </w:tc>
        <w:tc>
          <w:tcPr>
            <w:tcW w:w="910" w:type="dxa"/>
            <w:tcBorders>
              <w:top w:val="nil"/>
              <w:left w:val="nil"/>
              <w:right w:val="nil"/>
            </w:tcBorders>
          </w:tcPr>
          <w:p w14:paraId="6C70DAA0" w14:textId="77777777" w:rsidR="00156C9E" w:rsidRDefault="00156C9E" w:rsidP="00634CA1">
            <w:pPr>
              <w:ind w:left="-75"/>
              <w:jc w:val="center"/>
            </w:pPr>
          </w:p>
        </w:tc>
        <w:tc>
          <w:tcPr>
            <w:tcW w:w="911" w:type="dxa"/>
            <w:tcBorders>
              <w:top w:val="nil"/>
              <w:left w:val="nil"/>
            </w:tcBorders>
          </w:tcPr>
          <w:p w14:paraId="40801E04" w14:textId="77777777" w:rsidR="00156C9E" w:rsidRDefault="00156C9E" w:rsidP="00634CA1">
            <w:pPr>
              <w:ind w:left="-75"/>
              <w:jc w:val="center"/>
            </w:pPr>
          </w:p>
        </w:tc>
      </w:tr>
    </w:tbl>
    <w:p w14:paraId="0F0F2B27" w14:textId="77777777" w:rsidR="00FF745D" w:rsidRPr="00156C9E" w:rsidRDefault="00000000" w:rsidP="00156C9E">
      <w:pPr>
        <w:snapToGrid w:val="0"/>
        <w:spacing w:line="240" w:lineRule="atLeast"/>
        <w:rPr>
          <w:rFonts w:ascii="Times New Roman" w:eastAsia="ＭＳ Ｐ明朝" w:hAnsi="Times New Roman" w:cs="Times New Roman"/>
        </w:rPr>
      </w:pPr>
      <w:r w:rsidRPr="00156C9E">
        <w:rPr>
          <w:rFonts w:ascii="Times New Roman" w:eastAsia="ＭＳ Ｐ明朝" w:hAnsi="Times New Roman" w:cs="Times New Roman"/>
        </w:rPr>
        <w:t>ACE = Agency for Care Effectiveness</w:t>
      </w:r>
      <w:r w:rsidRPr="00156C9E">
        <w:rPr>
          <w:rFonts w:ascii="Times New Roman" w:eastAsia="ＭＳ Ｐ明朝" w:hAnsi="Times New Roman" w:cs="Times New Roman"/>
        </w:rPr>
        <w:t>（シンガポール）</w:t>
      </w:r>
      <w:r w:rsidRPr="00156C9E">
        <w:rPr>
          <w:rFonts w:ascii="Times New Roman" w:eastAsia="ＭＳ Ｐ明朝" w:hAnsi="Times New Roman" w:cs="Times New Roman"/>
        </w:rPr>
        <w:t>; AQoL = Assessment of Quality of Life; C2H = Center For Outcomes Research And Economic Evaluation For Health</w:t>
      </w:r>
      <w:r w:rsidRPr="00156C9E">
        <w:rPr>
          <w:rFonts w:ascii="Times New Roman" w:eastAsia="ＭＳ Ｐ明朝" w:hAnsi="Times New Roman" w:cs="Times New Roman"/>
        </w:rPr>
        <w:t>（日本）</w:t>
      </w:r>
      <w:r w:rsidRPr="00156C9E">
        <w:rPr>
          <w:rFonts w:ascii="Times New Roman" w:eastAsia="ＭＳ Ｐ明朝" w:hAnsi="Times New Roman" w:cs="Times New Roman"/>
        </w:rPr>
        <w:t>; CADTH = Canadian Agency for Drugs and Technologies in Health; CatSalut = Catalan Health Service</w:t>
      </w:r>
      <w:r w:rsidRPr="00156C9E">
        <w:rPr>
          <w:rFonts w:ascii="Times New Roman" w:eastAsia="ＭＳ Ｐ明朝" w:hAnsi="Times New Roman" w:cs="Times New Roman"/>
        </w:rPr>
        <w:t>（スペイン）</w:t>
      </w:r>
      <w:r w:rsidRPr="00156C9E">
        <w:rPr>
          <w:rFonts w:ascii="Times New Roman" w:eastAsia="ＭＳ Ｐ明朝" w:hAnsi="Times New Roman" w:cs="Times New Roman"/>
        </w:rPr>
        <w:t>; CDE = Centre for Drug Evaluation</w:t>
      </w:r>
      <w:r w:rsidRPr="00156C9E">
        <w:rPr>
          <w:rFonts w:ascii="Times New Roman" w:eastAsia="ＭＳ Ｐ明朝" w:hAnsi="Times New Roman" w:cs="Times New Roman"/>
        </w:rPr>
        <w:t>（台湾）；</w:t>
      </w:r>
      <w:r w:rsidRPr="00156C9E">
        <w:rPr>
          <w:rFonts w:ascii="Times New Roman" w:eastAsia="ＭＳ Ｐ明朝" w:hAnsi="Times New Roman" w:cs="Times New Roman"/>
        </w:rPr>
        <w:t>CHU9D = Child Health Utility 9D; HAS = French National Authority for Health; HIRA = Health Insurance Review and Assessment Service</w:t>
      </w:r>
      <w:r w:rsidRPr="00156C9E">
        <w:rPr>
          <w:rFonts w:ascii="Times New Roman" w:eastAsia="ＭＳ Ｐ明朝" w:hAnsi="Times New Roman" w:cs="Times New Roman"/>
        </w:rPr>
        <w:t>（韓国）</w:t>
      </w:r>
      <w:r w:rsidRPr="00156C9E">
        <w:rPr>
          <w:rFonts w:ascii="Times New Roman" w:eastAsia="ＭＳ Ｐ明朝" w:hAnsi="Times New Roman" w:cs="Times New Roman"/>
        </w:rPr>
        <w:t>; HTAA = Health Technologies Assessment Agencies</w:t>
      </w:r>
      <w:r w:rsidRPr="00156C9E">
        <w:rPr>
          <w:rFonts w:ascii="Times New Roman" w:eastAsia="ＭＳ Ｐ明朝" w:hAnsi="Times New Roman" w:cs="Times New Roman"/>
        </w:rPr>
        <w:t>（スペイン）</w:t>
      </w:r>
      <w:r w:rsidRPr="00156C9E">
        <w:rPr>
          <w:rFonts w:ascii="Times New Roman" w:eastAsia="ＭＳ Ｐ明朝" w:hAnsi="Times New Roman" w:cs="Times New Roman"/>
        </w:rPr>
        <w:t>; HUI = Health Utilities Index; KCE = Belgian Health Care Knowledge Centre</w:t>
      </w:r>
      <w:r w:rsidRPr="00156C9E">
        <w:rPr>
          <w:rFonts w:ascii="Times New Roman" w:eastAsia="ＭＳ Ｐ明朝" w:hAnsi="Times New Roman" w:cs="Times New Roman"/>
        </w:rPr>
        <w:t>；</w:t>
      </w:r>
      <w:r w:rsidRPr="00156C9E">
        <w:rPr>
          <w:rFonts w:ascii="Times New Roman" w:eastAsia="ＭＳ Ｐ明朝" w:hAnsi="Times New Roman" w:cs="Times New Roman"/>
        </w:rPr>
        <w:t>MAUI = multi-attribute utility instrument; MSAC = Medical Services Advisory Committee (Australia); NICE = National Institute for Health and Care Excellence (England and Wales); NIPH = Norwegian Institute of Public Health; NoMA = Norwegian Medicines Agency; PBAC = Pharmaceutical Benefits Advisory Committee (Australia)</w:t>
      </w:r>
      <w:r w:rsidRPr="00156C9E">
        <w:rPr>
          <w:rFonts w:ascii="Times New Roman" w:eastAsia="ＭＳ Ｐ明朝" w:hAnsi="Times New Roman" w:cs="Times New Roman"/>
        </w:rPr>
        <w:t>；</w:t>
      </w:r>
      <w:r w:rsidRPr="00156C9E">
        <w:rPr>
          <w:rFonts w:ascii="Times New Roman" w:eastAsia="ＭＳ Ｐ明朝" w:hAnsi="Times New Roman" w:cs="Times New Roman"/>
        </w:rPr>
        <w:t>PHARMAC = Pharmaceutical Management Agency</w:t>
      </w:r>
      <w:r w:rsidRPr="00156C9E">
        <w:rPr>
          <w:rFonts w:ascii="Times New Roman" w:eastAsia="ＭＳ Ｐ明朝" w:hAnsi="Times New Roman" w:cs="Times New Roman"/>
        </w:rPr>
        <w:t>（ニュージーランド）</w:t>
      </w:r>
      <w:r w:rsidRPr="00156C9E">
        <w:rPr>
          <w:rFonts w:ascii="Times New Roman" w:eastAsia="ＭＳ Ｐ明朝" w:hAnsi="Times New Roman" w:cs="Times New Roman"/>
        </w:rPr>
        <w:t>; QWB = Quality of Well-Being Scale; SF-6D = Short-Form Six-Dimension; SMC = Scottish Medicines Consortium; TLV = Dental and Pharmaceutical Benefits Agency</w:t>
      </w:r>
      <w:r w:rsidRPr="00156C9E">
        <w:rPr>
          <w:rFonts w:ascii="Times New Roman" w:eastAsia="ＭＳ Ｐ明朝" w:hAnsi="Times New Roman" w:cs="Times New Roman"/>
        </w:rPr>
        <w:t>（スウェーデン）</w:t>
      </w:r>
      <w:r w:rsidRPr="00156C9E">
        <w:rPr>
          <w:rFonts w:ascii="Times New Roman" w:eastAsia="ＭＳ Ｐ明朝" w:hAnsi="Times New Roman" w:cs="Times New Roman"/>
        </w:rPr>
        <w:t>; ZIN = Zorginstituut Nederland</w:t>
      </w:r>
      <w:r w:rsidRPr="00156C9E">
        <w:rPr>
          <w:rFonts w:ascii="Times New Roman" w:eastAsia="ＭＳ Ｐ明朝" w:hAnsi="Times New Roman" w:cs="Times New Roman"/>
        </w:rPr>
        <w:t>（オランダ、</w:t>
      </w:r>
      <w:r w:rsidRPr="00156C9E">
        <w:rPr>
          <w:rFonts w:ascii="Times New Roman" w:eastAsia="ＭＳ Ｐ明朝" w:hAnsi="Times New Roman" w:cs="Times New Roman"/>
        </w:rPr>
        <w:t>National Health Care Institute</w:t>
      </w:r>
      <w:r w:rsidRPr="00156C9E">
        <w:rPr>
          <w:rFonts w:ascii="Times New Roman" w:eastAsia="ＭＳ Ｐ明朝" w:hAnsi="Times New Roman" w:cs="Times New Roman"/>
        </w:rPr>
        <w:t>）。</w:t>
      </w:r>
    </w:p>
    <w:p w14:paraId="53F741A5" w14:textId="77777777" w:rsidR="00FF745D" w:rsidRPr="00156C9E" w:rsidRDefault="00000000" w:rsidP="00156C9E">
      <w:pPr>
        <w:snapToGrid w:val="0"/>
        <w:spacing w:line="240" w:lineRule="atLeast"/>
        <w:rPr>
          <w:rFonts w:ascii="Times New Roman" w:eastAsia="ＭＳ Ｐ明朝" w:hAnsi="Times New Roman" w:cs="Times New Roman"/>
          <w:lang w:eastAsia="ja-JP"/>
        </w:rPr>
      </w:pPr>
      <w:r w:rsidRPr="00156C9E">
        <w:rPr>
          <w:rFonts w:ascii="Times New Roman" w:eastAsia="ＭＳ Ｐ明朝" w:hAnsi="Times New Roman" w:cs="Times New Roman"/>
          <w:lang w:eastAsia="ja-JP"/>
        </w:rPr>
        <w:t>[</w:t>
      </w:r>
      <w:r w:rsidRPr="00156C9E">
        <w:rPr>
          <w:rFonts w:ascii="Times New Roman" w:eastAsia="ＭＳ Ｐ明朝" w:hAnsi="Times New Roman" w:cs="Times New Roman"/>
          <w:lang w:eastAsia="ja-JP"/>
        </w:rPr>
        <w:t>ルクセンブルク（</w:t>
      </w:r>
      <w:r w:rsidRPr="00156C9E">
        <w:rPr>
          <w:rFonts w:ascii="Times New Roman" w:eastAsia="ＭＳ Ｐ明朝" w:hAnsi="Times New Roman" w:cs="Times New Roman"/>
          <w:lang w:eastAsia="ja-JP"/>
        </w:rPr>
        <w:t>MSS</w:t>
      </w:r>
      <w:r w:rsidRPr="00156C9E">
        <w:rPr>
          <w:rFonts w:ascii="Times New Roman" w:eastAsia="ＭＳ Ｐ明朝" w:hAnsi="Times New Roman" w:cs="Times New Roman"/>
          <w:lang w:eastAsia="ja-JP"/>
        </w:rPr>
        <w:t>）が指定した</w:t>
      </w:r>
      <w:r w:rsidRPr="00156C9E">
        <w:rPr>
          <w:rFonts w:ascii="Times New Roman" w:eastAsia="ＭＳ Ｐ明朝" w:hAnsi="Times New Roman" w:cs="Times New Roman"/>
          <w:lang w:eastAsia="ja-JP"/>
        </w:rPr>
        <w:t>MAUI</w:t>
      </w:r>
      <w:r w:rsidRPr="00156C9E">
        <w:rPr>
          <w:rFonts w:ascii="Times New Roman" w:eastAsia="ＭＳ Ｐ明朝" w:hAnsi="Times New Roman" w:cs="Times New Roman"/>
          <w:lang w:eastAsia="ja-JP"/>
        </w:rPr>
        <w:t>の選択に関する情報はなかった</w:t>
      </w:r>
      <w:r w:rsidRPr="00156C9E">
        <w:rPr>
          <w:rFonts w:ascii="Times New Roman" w:eastAsia="ＭＳ Ｐ明朝" w:hAnsi="Times New Roman" w:cs="Times New Roman"/>
          <w:lang w:eastAsia="ja-JP"/>
        </w:rPr>
        <w:t>]</w:t>
      </w:r>
      <w:r w:rsidRPr="00156C9E">
        <w:rPr>
          <w:rFonts w:ascii="Times New Roman" w:eastAsia="ＭＳ Ｐ明朝" w:hAnsi="Times New Roman" w:cs="Times New Roman"/>
          <w:lang w:eastAsia="ja-JP"/>
        </w:rPr>
        <w:t>。</w:t>
      </w:r>
    </w:p>
    <w:p w14:paraId="4F9E45E9" w14:textId="77777777" w:rsidR="00FF745D" w:rsidRPr="00156C9E" w:rsidRDefault="00000000" w:rsidP="00156C9E">
      <w:pPr>
        <w:snapToGrid w:val="0"/>
        <w:spacing w:line="240" w:lineRule="atLeast"/>
        <w:rPr>
          <w:rFonts w:ascii="Times New Roman" w:eastAsia="ＭＳ Ｐ明朝" w:hAnsi="Times New Roman" w:cs="Times New Roman"/>
          <w:lang w:eastAsia="ja-JP"/>
        </w:rPr>
      </w:pPr>
      <w:r w:rsidRPr="00156C9E">
        <w:rPr>
          <w:rFonts w:ascii="Times New Roman" w:eastAsia="ＭＳ Ｐ明朝" w:hAnsi="Times New Roman" w:cs="Times New Roman"/>
          <w:lang w:eastAsia="ja-JP"/>
        </w:rPr>
        <w:t>ソース</w:t>
      </w:r>
      <w:r w:rsidRPr="00156C9E">
        <w:rPr>
          <w:rFonts w:ascii="Times New Roman" w:eastAsia="ＭＳ Ｐ明朝" w:hAnsi="Times New Roman" w:cs="Times New Roman"/>
          <w:lang w:eastAsia="ja-JP"/>
        </w:rPr>
        <w:t xml:space="preserve"> </w:t>
      </w:r>
    </w:p>
    <w:p w14:paraId="39510DDF" w14:textId="758E0963" w:rsidR="00156C9E" w:rsidRPr="00156C9E" w:rsidRDefault="00000000" w:rsidP="00156C9E">
      <w:pPr>
        <w:snapToGrid w:val="0"/>
        <w:spacing w:line="240" w:lineRule="atLeast"/>
        <w:rPr>
          <w:rFonts w:ascii="Times New Roman" w:eastAsia="ＭＳ Ｐ明朝" w:hAnsi="Times New Roman" w:cs="Times New Roman" w:hint="eastAsia"/>
          <w:lang w:eastAsia="ja-JP"/>
        </w:rPr>
      </w:pP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NICE</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2022</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SMC</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2022</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PHARMAC</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2015</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HAS</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2020</w:t>
      </w:r>
      <w:r w:rsidRPr="00156C9E">
        <w:rPr>
          <w:rFonts w:ascii="Times New Roman" w:eastAsia="ＭＳ Ｐ明朝" w:hAnsi="Times New Roman" w:cs="Times New Roman"/>
          <w:lang w:eastAsia="ja-JP"/>
        </w:rPr>
        <w:t>年、</w:t>
      </w:r>
      <w:proofErr w:type="spellStart"/>
      <w:r w:rsidRPr="00156C9E">
        <w:rPr>
          <w:rFonts w:ascii="Times New Roman" w:eastAsia="ＭＳ Ｐ明朝" w:hAnsi="Times New Roman" w:cs="Times New Roman"/>
          <w:lang w:eastAsia="ja-JP"/>
        </w:rPr>
        <w:t>NoMA</w:t>
      </w:r>
      <w:proofErr w:type="spellEnd"/>
      <w:r w:rsidRPr="00156C9E">
        <w:rPr>
          <w:rFonts w:ascii="Times New Roman" w:eastAsia="ＭＳ Ｐ明朝" w:hAnsi="Times New Roman" w:cs="Times New Roman"/>
          <w:lang w:eastAsia="ja-JP"/>
        </w:rPr>
        <w:t>（医薬品）ガイドライン</w:t>
      </w:r>
      <w:r w:rsidRPr="00156C9E">
        <w:rPr>
          <w:rFonts w:ascii="Times New Roman" w:eastAsia="ＭＳ Ｐ明朝" w:hAnsi="Times New Roman" w:cs="Times New Roman"/>
          <w:lang w:eastAsia="ja-JP"/>
        </w:rPr>
        <w:t>2018</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NIPH</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2021</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ZIN</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2016</w:t>
      </w:r>
      <w:r w:rsidRPr="00156C9E">
        <w:rPr>
          <w:rFonts w:ascii="Times New Roman" w:eastAsia="ＭＳ Ｐ明朝" w:hAnsi="Times New Roman" w:cs="Times New Roman"/>
          <w:lang w:eastAsia="ja-JP"/>
        </w:rPr>
        <w:t>年、</w:t>
      </w:r>
      <w:r w:rsidRPr="00156C9E">
        <w:rPr>
          <w:rFonts w:ascii="Times New Roman" w:eastAsia="ＭＳ Ｐ明朝" w:hAnsi="Times New Roman" w:cs="Times New Roman"/>
          <w:lang w:eastAsia="ja-JP"/>
        </w:rPr>
        <w:t>KCE</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2012</w:t>
      </w:r>
      <w:r w:rsidRPr="00156C9E">
        <w:rPr>
          <w:rFonts w:ascii="Times New Roman" w:eastAsia="ＭＳ Ｐ明朝" w:hAnsi="Times New Roman" w:cs="Times New Roman"/>
          <w:lang w:eastAsia="ja-JP"/>
        </w:rPr>
        <w:t>年、</w:t>
      </w:r>
      <w:proofErr w:type="spellStart"/>
      <w:r w:rsidRPr="00156C9E">
        <w:rPr>
          <w:rFonts w:ascii="Times New Roman" w:eastAsia="ＭＳ Ｐ明朝" w:hAnsi="Times New Roman" w:cs="Times New Roman"/>
          <w:lang w:eastAsia="ja-JP"/>
        </w:rPr>
        <w:t>CatSalut</w:t>
      </w:r>
      <w:proofErr w:type="spellEnd"/>
      <w:r w:rsidRPr="00156C9E">
        <w:rPr>
          <w:rFonts w:ascii="Times New Roman" w:eastAsia="ＭＳ Ｐ明朝" w:hAnsi="Times New Roman" w:cs="Times New Roman"/>
          <w:lang w:eastAsia="ja-JP"/>
        </w:rPr>
        <w:t>ガイドライン</w:t>
      </w:r>
      <w:r w:rsidR="00C72DD4" w:rsidRPr="00156C9E">
        <w:rPr>
          <w:rFonts w:ascii="Times New Roman" w:eastAsia="ＭＳ Ｐ明朝" w:hAnsi="Times New Roman" w:cs="Times New Roman"/>
          <w:lang w:eastAsia="ja-JP"/>
        </w:rPr>
        <w:t>2014</w:t>
      </w:r>
      <w:r w:rsidR="00C72DD4" w:rsidRPr="00156C9E">
        <w:rPr>
          <w:rFonts w:ascii="Times New Roman" w:eastAsia="ＭＳ Ｐ明朝" w:hAnsi="Times New Roman" w:cs="Times New Roman"/>
          <w:lang w:eastAsia="ja-JP"/>
        </w:rPr>
        <w:t>年</w:t>
      </w:r>
      <w:r w:rsidR="00C72DD4" w:rsidRPr="00156C9E">
        <w:rPr>
          <w:rFonts w:ascii="Times New Roman" w:eastAsia="ＭＳ Ｐ明朝" w:hAnsi="Times New Roman" w:cs="Times New Roman"/>
          <w:lang w:eastAsia="ja-JP"/>
        </w:rPr>
        <w:t xml:space="preserve"> </w:t>
      </w:r>
      <w:r w:rsidR="003F2E09" w:rsidRPr="00156C9E">
        <w:rPr>
          <w:rFonts w:ascii="Times New Roman" w:eastAsia="ＭＳ Ｐ明朝" w:hAnsi="Times New Roman" w:cs="Times New Roman"/>
        </w:rPr>
        <w:fldChar w:fldCharType="begin"/>
      </w:r>
      <w:r w:rsidR="005E33D6" w:rsidRPr="00156C9E">
        <w:rPr>
          <w:rFonts w:ascii="Times New Roman" w:eastAsia="ＭＳ Ｐ明朝" w:hAnsi="Times New Roman" w:cs="Times New Roman"/>
          <w:lang w:eastAsia="ja-JP"/>
        </w:rPr>
        <w:instrText xml:space="preserve"> ADDIN EN.CITE &lt;EndNote&gt;&lt;Cite&gt;&lt;Author&gt;Catalan Health Service (CatSalut)&lt;/Author&gt;&lt;Year&gt;2014&lt;/Year&gt;&lt;RecNum&gt;366&lt;/RecNum&gt;&lt;DisplayText&gt;[27]&lt;/DisplayText&gt;&lt;record&gt;&lt;rec-number&gt;366&lt;/rec-number&gt;&lt;foreign-keys&gt;&lt;key app="EN" db-id="z25xddsz659sshedpdu5pda3dswx20f99sf9" timestamp="1695613599"&gt;366&lt;/key&gt;&lt;/foreign-keys&gt;&lt;ref-type name="Government Document"&gt;46&lt;/ref-type&gt;&lt;contributors&gt;&lt;authors&gt;&lt;author&gt;Catalan Health Service (CatSalut),&lt;/author&gt;&lt;/authors&gt;&lt;/contributors&gt;&lt;titles&gt;&lt;title&gt;Guide and recommendations and budgetary impact analysis of economic evlauations for the performance and presenation of medicines in the field of CatSalut&lt;/title&gt;&lt;/titles&gt;&lt;dates&gt;&lt;year&gt;2014&lt;/year&gt;&lt;/dates&gt;&lt;pub-location&gt;Barcelona&lt;/pub-location&gt;&lt;urls&gt;&lt;/urls&gt;&lt;/record&gt;&lt;/Cite&gt;&lt;/EndNote&gt;</w:instrText>
      </w:r>
      <w:r w:rsidR="003F2E09" w:rsidRPr="00156C9E">
        <w:rPr>
          <w:rFonts w:ascii="Times New Roman" w:eastAsia="ＭＳ Ｐ明朝" w:hAnsi="Times New Roman" w:cs="Times New Roman"/>
        </w:rPr>
        <w:fldChar w:fldCharType="separate"/>
      </w:r>
      <w:r w:rsidR="005E33D6" w:rsidRPr="00156C9E">
        <w:rPr>
          <w:rFonts w:ascii="Times New Roman" w:eastAsia="ＭＳ Ｐ明朝" w:hAnsi="Times New Roman" w:cs="Times New Roman"/>
          <w:noProof/>
          <w:lang w:eastAsia="ja-JP"/>
        </w:rPr>
        <w:t>[27]</w:t>
      </w:r>
      <w:r w:rsidR="003F2E09" w:rsidRPr="00156C9E">
        <w:rPr>
          <w:rFonts w:ascii="Times New Roman" w:eastAsia="ＭＳ Ｐ明朝" w:hAnsi="Times New Roman" w:cs="Times New Roman"/>
        </w:rPr>
        <w:fldChar w:fldCharType="end"/>
      </w:r>
      <w:r w:rsidRPr="00156C9E">
        <w:rPr>
          <w:rFonts w:ascii="Times New Roman" w:eastAsia="ＭＳ Ｐ明朝" w:hAnsi="Times New Roman" w:cs="Times New Roman"/>
          <w:lang w:eastAsia="ja-JP"/>
        </w:rPr>
        <w:t>C2H</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2022; PBAC</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2016; MSAC</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2021; CADTH</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2017; TLV</w:t>
      </w:r>
      <w:r w:rsidRPr="00156C9E">
        <w:rPr>
          <w:rFonts w:ascii="Times New Roman" w:eastAsia="ＭＳ Ｐ明朝" w:hAnsi="Times New Roman" w:cs="Times New Roman"/>
          <w:lang w:eastAsia="ja-JP"/>
        </w:rPr>
        <w:t>レポート</w:t>
      </w:r>
      <w:r w:rsidRPr="00156C9E">
        <w:rPr>
          <w:rFonts w:ascii="Times New Roman" w:eastAsia="ＭＳ Ｐ明朝" w:hAnsi="Times New Roman" w:cs="Times New Roman"/>
          <w:lang w:eastAsia="ja-JP"/>
        </w:rPr>
        <w:t>2022; HTAA</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 xml:space="preserve">(Lopez-Bastida et al) </w:t>
      </w:r>
      <w:r w:rsidR="00C72DD4" w:rsidRPr="00156C9E">
        <w:rPr>
          <w:rFonts w:ascii="Times New Roman" w:eastAsia="ＭＳ Ｐ明朝" w:hAnsi="Times New Roman" w:cs="Times New Roman"/>
          <w:lang w:eastAsia="ja-JP"/>
        </w:rPr>
        <w:t xml:space="preserve">2010 </w:t>
      </w:r>
      <w:r w:rsidR="003F2E09" w:rsidRPr="00156C9E">
        <w:rPr>
          <w:rFonts w:ascii="Times New Roman" w:eastAsia="ＭＳ Ｐ明朝" w:hAnsi="Times New Roman" w:cs="Times New Roman"/>
        </w:rPr>
        <w:fldChar w:fldCharType="begin">
          <w:fldData xml:space="preserve">PEVuZE5vdGU+PENpdGU+PEF1dGhvcj5Mw7NwZXotQmFzdGlkYTwvQXV0aG9yPjxZZWFyPjIwMTA8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</w:fldData>
        </w:fldChar>
      </w:r>
      <w:r w:rsidR="005E33D6" w:rsidRPr="00156C9E">
        <w:rPr>
          <w:rFonts w:ascii="Times New Roman" w:eastAsia="ＭＳ Ｐ明朝" w:hAnsi="Times New Roman" w:cs="Times New Roman"/>
          <w:lang w:eastAsia="ja-JP"/>
        </w:rPr>
        <w:instrText xml:space="preserve"> ADDIN EN.CITE </w:instrText>
      </w:r>
      <w:r w:rsidR="005E33D6" w:rsidRPr="00156C9E">
        <w:rPr>
          <w:rFonts w:ascii="Times New Roman" w:eastAsia="ＭＳ Ｐ明朝" w:hAnsi="Times New Roman" w:cs="Times New Roman"/>
        </w:rPr>
        <w:fldChar w:fldCharType="begin">
          <w:fldData xml:space="preserve">PEVuZE5vdGU+PENpdGU+PEF1dGhvcj5Mw7NwZXotQmFzdGlkYTwvQXV0aG9yPjxZZWFyPjIwMTA8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</w:fldData>
        </w:fldChar>
      </w:r>
      <w:r w:rsidR="005E33D6" w:rsidRPr="00156C9E">
        <w:rPr>
          <w:rFonts w:ascii="Times New Roman" w:eastAsia="ＭＳ Ｐ明朝" w:hAnsi="Times New Roman" w:cs="Times New Roman"/>
          <w:lang w:eastAsia="ja-JP"/>
        </w:rPr>
        <w:instrText xml:space="preserve"> ADDIN EN.CITE.DATA </w:instrText>
      </w:r>
      <w:r w:rsidR="005E33D6" w:rsidRPr="00156C9E">
        <w:rPr>
          <w:rFonts w:ascii="Times New Roman" w:eastAsia="ＭＳ Ｐ明朝" w:hAnsi="Times New Roman" w:cs="Times New Roman"/>
        </w:rPr>
      </w:r>
      <w:r w:rsidR="005E33D6" w:rsidRPr="00156C9E">
        <w:rPr>
          <w:rFonts w:ascii="Times New Roman" w:eastAsia="ＭＳ Ｐ明朝" w:hAnsi="Times New Roman" w:cs="Times New Roman"/>
        </w:rPr>
        <w:fldChar w:fldCharType="end"/>
      </w:r>
      <w:r w:rsidR="003F2E09" w:rsidRPr="00156C9E">
        <w:rPr>
          <w:rFonts w:ascii="Times New Roman" w:eastAsia="ＭＳ Ｐ明朝" w:hAnsi="Times New Roman" w:cs="Times New Roman"/>
        </w:rPr>
      </w:r>
      <w:r w:rsidR="003F2E09" w:rsidRPr="00156C9E">
        <w:rPr>
          <w:rFonts w:ascii="Times New Roman" w:eastAsia="ＭＳ Ｐ明朝" w:hAnsi="Times New Roman" w:cs="Times New Roman"/>
        </w:rPr>
        <w:fldChar w:fldCharType="separate"/>
      </w:r>
      <w:r w:rsidR="005E33D6" w:rsidRPr="00156C9E">
        <w:rPr>
          <w:rFonts w:ascii="Times New Roman" w:eastAsia="ＭＳ Ｐ明朝" w:hAnsi="Times New Roman" w:cs="Times New Roman"/>
          <w:noProof/>
          <w:lang w:eastAsia="ja-JP"/>
        </w:rPr>
        <w:t>[28]</w:t>
      </w:r>
      <w:r w:rsidR="003F2E09" w:rsidRPr="00156C9E">
        <w:rPr>
          <w:rFonts w:ascii="Times New Roman" w:eastAsia="ＭＳ Ｐ明朝" w:hAnsi="Times New Roman" w:cs="Times New Roman"/>
        </w:rPr>
        <w:fldChar w:fldCharType="end"/>
      </w:r>
      <w:r w:rsidRPr="00156C9E">
        <w:rPr>
          <w:rFonts w:ascii="Times New Roman" w:eastAsia="ＭＳ Ｐ明朝" w:hAnsi="Times New Roman" w:cs="Times New Roman"/>
          <w:lang w:eastAsia="ja-JP"/>
        </w:rPr>
        <w:t xml:space="preserve">HIRA </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 xml:space="preserve"> (Bae et al) 2022; ACE (</w:t>
      </w:r>
      <w:r w:rsidRPr="00156C9E">
        <w:rPr>
          <w:rFonts w:ascii="Times New Roman" w:eastAsia="ＭＳ Ｐ明朝" w:hAnsi="Times New Roman" w:cs="Times New Roman"/>
          <w:lang w:eastAsia="ja-JP"/>
        </w:rPr>
        <w:t>医療技術</w:t>
      </w:r>
      <w:r w:rsidRPr="00156C9E">
        <w:rPr>
          <w:rFonts w:ascii="Times New Roman" w:eastAsia="ＭＳ Ｐ明朝" w:hAnsi="Times New Roman" w:cs="Times New Roman"/>
          <w:lang w:eastAsia="ja-JP"/>
        </w:rPr>
        <w:t xml:space="preserve">) </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 xml:space="preserve"> 2022; CDE (</w:t>
      </w:r>
      <w:proofErr w:type="spellStart"/>
      <w:r w:rsidRPr="00156C9E">
        <w:rPr>
          <w:rFonts w:ascii="Times New Roman" w:eastAsia="ＭＳ Ｐ明朝" w:hAnsi="Times New Roman" w:cs="Times New Roman"/>
          <w:lang w:eastAsia="ja-JP"/>
        </w:rPr>
        <w:t>TasPOR</w:t>
      </w:r>
      <w:proofErr w:type="spellEnd"/>
      <w:r w:rsidRPr="00156C9E">
        <w:rPr>
          <w:rFonts w:ascii="Times New Roman" w:eastAsia="ＭＳ Ｐ明朝" w:hAnsi="Times New Roman" w:cs="Times New Roman"/>
          <w:lang w:eastAsia="ja-JP"/>
        </w:rPr>
        <w:t xml:space="preserve">) </w:t>
      </w:r>
      <w:r w:rsidRPr="00156C9E">
        <w:rPr>
          <w:rFonts w:ascii="Times New Roman" w:eastAsia="ＭＳ Ｐ明朝" w:hAnsi="Times New Roman" w:cs="Times New Roman"/>
          <w:lang w:eastAsia="ja-JP"/>
        </w:rPr>
        <w:t>ガイドライン</w:t>
      </w:r>
      <w:r w:rsidRPr="00156C9E">
        <w:rPr>
          <w:rFonts w:ascii="Times New Roman" w:eastAsia="ＭＳ Ｐ明朝" w:hAnsi="Times New Roman" w:cs="Times New Roman"/>
          <w:lang w:eastAsia="ja-JP"/>
        </w:rPr>
        <w:t xml:space="preserve"> 2006</w:t>
      </w:r>
    </w:p>
    <w:p w14:paraId="74BC8232" w14:textId="77777777" w:rsidR="00156C9E" w:rsidRDefault="00156C9E">
      <w:pPr>
        <w:pStyle w:val="a3"/>
        <w:rPr>
          <w:rFonts w:ascii="Times New Roman" w:eastAsia="ＭＳ Ｐ明朝" w:hAnsi="Times New Roman"/>
          <w:sz w:val="20"/>
          <w:szCs w:val="21"/>
          <w:lang w:eastAsia="ja-JP"/>
        </w:rPr>
      </w:pPr>
    </w:p>
    <w:p w14:paraId="69D52712" w14:textId="650B11F3"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オーストラリアでは、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のガイドラインで、これらの測定法以外の</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の使用には、領域、スコアリング、妥当性、信頼性、反応性、臨床的に重要な最小限の差異（</w:t>
      </w:r>
      <w:r w:rsidRPr="00F46EF2">
        <w:rPr>
          <w:rFonts w:ascii="Times New Roman" w:eastAsia="ＭＳ Ｐ明朝" w:hAnsi="Times New Roman"/>
          <w:sz w:val="20"/>
          <w:szCs w:val="21"/>
          <w:lang w:eastAsia="ja-JP"/>
        </w:rPr>
        <w:t>MCID</w:t>
      </w:r>
      <w:r w:rsidRPr="00F46EF2">
        <w:rPr>
          <w:rFonts w:ascii="Times New Roman" w:eastAsia="ＭＳ Ｐ明朝" w:hAnsi="Times New Roman"/>
          <w:sz w:val="20"/>
          <w:szCs w:val="21"/>
          <w:lang w:eastAsia="ja-JP"/>
        </w:rPr>
        <w:t>）に関する詳細な議論が必要であるとしている。同様に、選択された</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の良好な心理測定学的特性の実証は、いくつかの</w:t>
      </w:r>
      <w:r w:rsidR="0064555B" w:rsidRPr="00F46EF2">
        <w:rPr>
          <w:rFonts w:ascii="Times New Roman" w:eastAsia="ＭＳ Ｐ明朝" w:hAnsi="Times New Roman"/>
          <w:sz w:val="20"/>
          <w:szCs w:val="21"/>
          <w:lang w:eastAsia="ja-JP"/>
        </w:rPr>
        <w:t>管轄区域</w:t>
      </w:r>
      <w:r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）、カナダ（</w:t>
      </w:r>
      <w:r w:rsidRPr="00F46EF2">
        <w:rPr>
          <w:rFonts w:ascii="Times New Roman" w:eastAsia="ＭＳ Ｐ明朝" w:hAnsi="Times New Roman"/>
          <w:sz w:val="20"/>
          <w:szCs w:val="21"/>
          <w:lang w:eastAsia="ja-JP"/>
        </w:rPr>
        <w:t>CADTH</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）、韓国（</w:t>
      </w:r>
      <w:r w:rsidRPr="00F46EF2">
        <w:rPr>
          <w:rFonts w:ascii="Times New Roman" w:eastAsia="ＭＳ Ｐ明朝" w:hAnsi="Times New Roman"/>
          <w:sz w:val="20"/>
          <w:szCs w:val="21"/>
          <w:lang w:eastAsia="ja-JP"/>
        </w:rPr>
        <w:t>HIRA</w:t>
      </w:r>
      <w:r w:rsidRPr="00F46EF2">
        <w:rPr>
          <w:rFonts w:ascii="Times New Roman" w:eastAsia="ＭＳ Ｐ明朝" w:hAnsi="Times New Roman"/>
          <w:sz w:val="20"/>
          <w:szCs w:val="21"/>
          <w:lang w:eastAsia="ja-JP"/>
        </w:rPr>
        <w:t>））</w:t>
      </w:r>
      <w:r w:rsidR="003F00A0" w:rsidRPr="00F46EF2">
        <w:rPr>
          <w:rFonts w:ascii="Times New Roman" w:eastAsia="ＭＳ Ｐ明朝" w:hAnsi="Times New Roman"/>
          <w:sz w:val="20"/>
          <w:szCs w:val="21"/>
          <w:lang w:eastAsia="ja-JP"/>
        </w:rPr>
        <w:t>およびシンガポール（</w:t>
      </w:r>
      <w:r w:rsidR="003F00A0"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）で要求されている。その他の考慮事項として、選択された</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は、その国（オーストラリア（</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）、台湾（</w:t>
      </w:r>
      <w:r w:rsidRPr="00F46EF2">
        <w:rPr>
          <w:rFonts w:ascii="Times New Roman" w:eastAsia="ＭＳ Ｐ明朝" w:hAnsi="Times New Roman"/>
          <w:sz w:val="20"/>
          <w:szCs w:val="21"/>
          <w:lang w:eastAsia="ja-JP"/>
        </w:rPr>
        <w:t>CDE</w:t>
      </w:r>
      <w:r w:rsidRPr="00F46EF2">
        <w:rPr>
          <w:rFonts w:ascii="Times New Roman" w:eastAsia="ＭＳ Ｐ明朝" w:hAnsi="Times New Roman"/>
          <w:sz w:val="20"/>
          <w:szCs w:val="21"/>
          <w:lang w:eastAsia="ja-JP"/>
        </w:rPr>
        <w:t>））及び健康状態及び介入（オーストラリア（</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））において検証されるべきであり、関心のある健康状態を反映すべきである（カナダ（</w:t>
      </w:r>
      <w:r w:rsidRPr="00F46EF2">
        <w:rPr>
          <w:rFonts w:ascii="Times New Roman" w:eastAsia="ＭＳ Ｐ明朝" w:hAnsi="Times New Roman"/>
          <w:sz w:val="20"/>
          <w:szCs w:val="21"/>
          <w:lang w:eastAsia="ja-JP"/>
        </w:rPr>
        <w:t>CADTH</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w:t>
      </w:r>
    </w:p>
    <w:p w14:paraId="3148C8B0"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lastRenderedPageBreak/>
        <w:t>EQ-5D</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HUI</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SF-6D</w:t>
      </w:r>
      <w:r w:rsidRPr="00F46EF2">
        <w:rPr>
          <w:rFonts w:ascii="Times New Roman" w:eastAsia="ＭＳ Ｐ明朝" w:hAnsi="Times New Roman"/>
          <w:sz w:val="20"/>
          <w:szCs w:val="21"/>
          <w:lang w:eastAsia="ja-JP"/>
        </w:rPr>
        <w:t>がほとんどのガイドラインで引用されている。注目すべきは、より規定的なアプローチをとる機関は、推奨された</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が不適切または利用できないと判断された場合、代替方法に関する広範なガイダンスを提供していることである。単一のタイプの</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を推奨することの利点と欠点については、現在も議論が続いている。</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&lt;EndNote&gt;&lt;Cite&gt;&lt;Author&gt;Rowen&lt;/Author&gt;&lt;Year&gt;2017&lt;/Year&gt;&lt;RecNum&gt;246&lt;/RecNum&gt;&lt;DisplayText&gt;[29, 30]&lt;/DisplayText&gt;&lt;record&gt;&lt;rec-number&gt;246&lt;/rec-number&gt;&lt;foreign-keys&gt;&lt;key app="EN" db-id="z25xddsz659sshedpdu5pda3dswx20f99sf9" timestamp="1695266187"&gt;246&lt;/key&gt;&lt;/foreign-keys&gt;&lt;ref-type name="Journal Article"&gt;17&lt;/ref-type&gt;&lt;contributors&gt;&lt;authors&gt;&lt;author&gt;Rowen, Donna&lt;/author&gt;&lt;author&gt;Brazier, John&lt;/author&gt;&lt;author&gt;Ara, Roberta&lt;/author&gt;&lt;author&gt;Azzabi Zouraq, Ismail&lt;/author&gt;&lt;/authors&gt;&lt;/contributors&gt;&lt;titles&gt;&lt;title&gt;The Role of Condition-Specific Preference-Based Measures in Health Technology Assessment&lt;/title&gt;&lt;secondary-title&gt;PharmacoEconomics&lt;/secondary-title&gt;&lt;/titles&gt;&lt;periodical&gt;&lt;full-title&gt;Pharmacoeconomics&lt;/full-title&gt;&lt;abbr-1&gt;PharmacoEconomics&lt;/abbr-1&gt;&lt;/periodical&gt;&lt;pages&gt;33-41&lt;/pages&gt;&lt;volume&gt;35&lt;/volume&gt;&lt;number&gt;1&lt;/number&gt;&lt;dates&gt;&lt;year&gt;2017&lt;/year&gt;&lt;pub-dates&gt;&lt;date&gt;2017/12/01&lt;/date&gt;&lt;/pub-dates&gt;&lt;/dates&gt;&lt;isbn&gt;1179-2027&lt;/isbn&gt;&lt;urls&gt;&lt;related-urls&gt;&lt;url&gt;https://doi.org/10.1007/s40273-017-0546-9&lt;/url&gt;&lt;/related-urls&gt;&lt;/urls&gt;&lt;electronic-resource-num&gt;10.1007/s40273-017-0546-9&lt;/electronic-resource-num&gt;&lt;/record&gt;&lt;/Cite&gt;&lt;Cite&gt;&lt;Author&gt;Brazier&lt;/Author&gt;&lt;Year&gt;2019&lt;/Year&gt;&lt;RecNum&gt;247&lt;/RecNum&gt;&lt;record&gt;&lt;rec-number&gt;247&lt;/rec-number&gt;&lt;foreign-keys&gt;&lt;key app="EN" db-id="z25xddsz659sshedpdu5pda3dswx20f99sf9" timestamp="1695266188"&gt;247&lt;/key&gt;&lt;/foreign-keys&gt;&lt;ref-type name="Journal Article"&gt;17&lt;/ref-type&gt;&lt;contributors&gt;&lt;authors&gt;&lt;author&gt;Brazier, John Edward&lt;/author&gt;&lt;author&gt;Rowen, Donna&lt;/author&gt;&lt;author&gt;Lloyd, Andrew&lt;/author&gt;&lt;author&gt;Karimi, Milad&lt;/author&gt;&lt;/authors&gt;&lt;/contributors&gt;&lt;titles&gt;&lt;title&gt;Future directions in valuing benefits for estimating QALYs: is time up for the EQ-5D?&lt;/title&gt;&lt;secondary-title&gt;Value in Health&lt;/secondary-title&gt;&lt;/titles&gt;&lt;periodical&gt;&lt;full-title&gt;Value in health&lt;/full-title&gt;&lt;/periodical&gt;&lt;pages&gt;62-68&lt;/pages&gt;&lt;volume&gt;22&lt;/volume&gt;&lt;number&gt;1&lt;/number&gt;&lt;dates&gt;&lt;year&gt;2019&lt;/year&gt;&lt;/dates&gt;&lt;isbn&gt;1098-3015&lt;/isbn&gt;&lt;urls&gt;&lt;/urls&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[29, 30]</w:t>
      </w:r>
      <w:r w:rsidRPr="00F46EF2">
        <w:rPr>
          <w:rFonts w:ascii="Times New Roman" w:eastAsia="ＭＳ Ｐ明朝" w:hAnsi="Times New Roman"/>
          <w:sz w:val="20"/>
          <w:szCs w:val="21"/>
        </w:rPr>
        <w:fldChar w:fldCharType="end"/>
      </w:r>
      <w:proofErr w:type="spellStart"/>
      <w:r w:rsidRPr="00F46EF2">
        <w:rPr>
          <w:rFonts w:ascii="Times New Roman" w:eastAsia="ＭＳ Ｐ明朝" w:hAnsi="Times New Roman"/>
          <w:sz w:val="20"/>
          <w:szCs w:val="21"/>
          <w:lang w:eastAsia="ja-JP"/>
        </w:rPr>
        <w:t>他の機関は、感度分析を伴う十分に正当化された選択の必要性を強調することで、より広範なアプローチの限界を補っている</w:t>
      </w:r>
      <w:proofErr w:type="spellEnd"/>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5047D809"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オーストラリアのガイドラインは、</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の選択、バリューセットの使用、ユーティリティのソースに関する方法論的な側面について重要な考察を提供しており、他のガイドラインと実質的な乖離はない（オーストラリアがより広範な推奨</w:t>
      </w:r>
      <w:r w:rsidRPr="00F46EF2">
        <w:rPr>
          <w:rFonts w:ascii="Times New Roman" w:eastAsia="ＭＳ Ｐ明朝" w:hAnsi="Times New Roman"/>
          <w:sz w:val="20"/>
          <w:szCs w:val="21"/>
          <w:lang w:eastAsia="ja-JP"/>
        </w:rPr>
        <w:t>MAUI</w:t>
      </w:r>
      <w:r w:rsidRPr="00F46EF2">
        <w:rPr>
          <w:rFonts w:ascii="Times New Roman" w:eastAsia="ＭＳ Ｐ明朝" w:hAnsi="Times New Roman"/>
          <w:sz w:val="20"/>
          <w:szCs w:val="21"/>
          <w:lang w:eastAsia="ja-JP"/>
        </w:rPr>
        <w:t>を特定していることを除く）。</w:t>
      </w:r>
      <w:r w:rsidRPr="00F46EF2">
        <w:rPr>
          <w:rFonts w:ascii="Times New Roman" w:eastAsia="ＭＳ Ｐ明朝" w:hAnsi="Times New Roman"/>
          <w:sz w:val="20"/>
          <w:szCs w:val="21"/>
          <w:lang w:eastAsia="ja-JP"/>
        </w:rPr>
        <w:t xml:space="preserve"> </w:t>
      </w:r>
    </w:p>
    <w:p w14:paraId="30C1D74D" w14:textId="77777777" w:rsidR="00156C9E" w:rsidRPr="00F46EF2" w:rsidRDefault="00156C9E">
      <w:pPr>
        <w:pStyle w:val="a3"/>
        <w:rPr>
          <w:rFonts w:ascii="Times New Roman" w:eastAsia="ＭＳ Ｐ明朝" w:hAnsi="Times New Roman"/>
          <w:sz w:val="20"/>
          <w:szCs w:val="21"/>
          <w:lang w:eastAsia="ja-JP"/>
        </w:rPr>
      </w:pPr>
    </w:p>
    <w:p w14:paraId="6F37B1C6" w14:textId="77777777" w:rsidR="00FF745D" w:rsidRPr="00F46EF2" w:rsidRDefault="00000000">
      <w:pPr>
        <w:pStyle w:val="NbrHeading4"/>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患者の嗜好を考慮する</w:t>
      </w:r>
      <w:proofErr w:type="spellEnd"/>
      <w:r w:rsidRPr="00F46EF2">
        <w:rPr>
          <w:rFonts w:ascii="Times New Roman" w:eastAsia="ＭＳ Ｐ明朝" w:hAnsi="Times New Roman"/>
          <w:sz w:val="20"/>
          <w:szCs w:val="21"/>
          <w:lang w:eastAsia="ja-JP"/>
        </w:rPr>
        <w:t>。</w:t>
      </w:r>
    </w:p>
    <w:p w14:paraId="46ABF755" w14:textId="6CD2DBA3" w:rsidR="00FF745D" w:rsidRPr="00F46EF2" w:rsidRDefault="008533E9">
      <w:pPr>
        <w:pStyle w:val="a3"/>
        <w:rPr>
          <w:rFonts w:ascii="Times New Roman" w:eastAsia="ＭＳ Ｐ明朝" w:hAnsi="Times New Roman"/>
          <w:sz w:val="20"/>
          <w:szCs w:val="21"/>
        </w:rPr>
      </w:pPr>
      <w:proofErr w:type="spellStart"/>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機関が</w:t>
      </w:r>
      <w:r w:rsidR="00000000" w:rsidRPr="00F46EF2">
        <w:rPr>
          <w:rFonts w:ascii="Times New Roman" w:eastAsia="ＭＳ Ｐ明朝" w:hAnsi="Times New Roman"/>
          <w:sz w:val="20"/>
          <w:szCs w:val="21"/>
          <w:lang w:eastAsia="ja-JP"/>
        </w:rPr>
        <w:t>患者の</w:t>
      </w:r>
      <w:r w:rsidRPr="00F46EF2">
        <w:rPr>
          <w:rFonts w:ascii="Times New Roman" w:eastAsia="ＭＳ Ｐ明朝" w:hAnsi="Times New Roman"/>
          <w:sz w:val="20"/>
          <w:szCs w:val="21"/>
          <w:lang w:eastAsia="ja-JP"/>
        </w:rPr>
        <w:t>嗜好を</w:t>
      </w:r>
      <w:r w:rsidR="00000000" w:rsidRPr="00F46EF2">
        <w:rPr>
          <w:rFonts w:ascii="Times New Roman" w:eastAsia="ＭＳ Ｐ明朝" w:hAnsi="Times New Roman"/>
          <w:sz w:val="20"/>
          <w:szCs w:val="21"/>
          <w:lang w:eastAsia="ja-JP"/>
        </w:rPr>
        <w:t>考慮するかどうかの概要は、以下の通りである</w:t>
      </w:r>
      <w:proofErr w:type="spellEnd"/>
      <w:r w:rsidR="00000000" w:rsidRPr="00F46EF2">
        <w:rPr>
          <w:rFonts w:ascii="Times New Roman" w:eastAsia="ＭＳ Ｐ明朝" w:hAnsi="Times New Roman"/>
          <w:sz w:val="20"/>
          <w:szCs w:val="21"/>
          <w:lang w:eastAsia="ja-JP"/>
        </w:rPr>
        <w:t>。</w:t>
      </w:r>
      <w:r w:rsidR="00000000" w:rsidRPr="00F46EF2">
        <w:rPr>
          <w:rFonts w:ascii="Times New Roman" w:eastAsia="ＭＳ Ｐ明朝" w:hAnsi="Times New Roman"/>
          <w:sz w:val="20"/>
          <w:szCs w:val="21"/>
          <w:lang w:eastAsia="ja-JP"/>
        </w:rPr>
        <w:t xml:space="preserve"> </w:t>
      </w:r>
      <w:r w:rsidR="00127065" w:rsidRPr="00F46EF2">
        <w:rPr>
          <w:rFonts w:ascii="Times New Roman" w:eastAsia="ＭＳ Ｐ明朝" w:hAnsi="Times New Roman"/>
          <w:sz w:val="20"/>
          <w:szCs w:val="21"/>
        </w:rPr>
        <w:fldChar w:fldCharType="begin"/>
      </w:r>
      <w:r w:rsidR="00127065" w:rsidRPr="00F46EF2">
        <w:rPr>
          <w:rFonts w:ascii="Times New Roman" w:eastAsia="ＭＳ Ｐ明朝" w:hAnsi="Times New Roman"/>
          <w:sz w:val="20"/>
          <w:szCs w:val="21"/>
          <w:lang w:eastAsia="ja-JP"/>
        </w:rPr>
        <w:instrText xml:space="preserve"> REF _Ref146373676 \h </w:instrText>
      </w:r>
      <w:r w:rsidR="00127065"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00127065"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表</w:t>
      </w:r>
      <w:r w:rsidR="00356B5C" w:rsidRPr="00F46EF2">
        <w:rPr>
          <w:rFonts w:ascii="Times New Roman" w:eastAsia="ＭＳ Ｐ明朝" w:hAnsi="Times New Roman"/>
          <w:noProof/>
          <w:sz w:val="20"/>
          <w:szCs w:val="21"/>
          <w:lang w:eastAsia="ja-JP"/>
        </w:rPr>
        <w:t>6</w:t>
      </w:r>
      <w:r w:rsidR="00127065" w:rsidRPr="00F46EF2">
        <w:rPr>
          <w:rFonts w:ascii="Times New Roman" w:eastAsia="ＭＳ Ｐ明朝" w:hAnsi="Times New Roman"/>
          <w:sz w:val="20"/>
          <w:szCs w:val="21"/>
        </w:rPr>
        <w:fldChar w:fldCharType="end"/>
      </w:r>
      <w:r w:rsidR="00000000" w:rsidRPr="00F46EF2">
        <w:rPr>
          <w:rFonts w:ascii="Times New Roman" w:eastAsia="ＭＳ Ｐ明朝" w:hAnsi="Times New Roman"/>
          <w:sz w:val="20"/>
          <w:szCs w:val="21"/>
          <w:lang w:eastAsia="ja-JP"/>
        </w:rPr>
        <w:t>.</w:t>
      </w:r>
      <w:r w:rsidR="00D70AFB" w:rsidRPr="00F46EF2">
        <w:rPr>
          <w:rFonts w:ascii="Times New Roman" w:eastAsia="ＭＳ Ｐ明朝" w:hAnsi="Times New Roman"/>
          <w:sz w:val="20"/>
          <w:szCs w:val="21"/>
          <w:lang w:eastAsia="ja-JP"/>
        </w:rPr>
        <w:t>患者の嗜好を取り入れるには、主に次の</w:t>
      </w:r>
      <w:r w:rsidR="00D70AFB" w:rsidRPr="00F46EF2">
        <w:rPr>
          <w:rFonts w:ascii="Times New Roman" w:eastAsia="ＭＳ Ｐ明朝" w:hAnsi="Times New Roman"/>
          <w:sz w:val="20"/>
          <w:szCs w:val="21"/>
          <w:lang w:eastAsia="ja-JP"/>
        </w:rPr>
        <w:t>2</w:t>
      </w:r>
      <w:r w:rsidR="00D70AFB" w:rsidRPr="00F46EF2">
        <w:rPr>
          <w:rFonts w:ascii="Times New Roman" w:eastAsia="ＭＳ Ｐ明朝" w:hAnsi="Times New Roman"/>
          <w:sz w:val="20"/>
          <w:szCs w:val="21"/>
          <w:lang w:eastAsia="ja-JP"/>
        </w:rPr>
        <w:t>つの方法がある。</w:t>
      </w:r>
      <w:r w:rsidR="00D70AFB" w:rsidRPr="00F46EF2">
        <w:rPr>
          <w:rFonts w:ascii="Times New Roman" w:eastAsia="ＭＳ Ｐ明朝" w:hAnsi="Times New Roman"/>
          <w:sz w:val="20"/>
          <w:szCs w:val="21"/>
          <w:lang w:eastAsia="ja-JP"/>
        </w:rPr>
        <w:t xml:space="preserve"> </w:t>
      </w:r>
      <w:r w:rsidR="00D70AFB" w:rsidRPr="00F46EF2">
        <w:rPr>
          <w:rFonts w:ascii="Times New Roman" w:eastAsia="ＭＳ Ｐ明朝" w:hAnsi="Times New Roman"/>
          <w:sz w:val="20"/>
          <w:szCs w:val="21"/>
        </w:rPr>
        <w:fldChar w:fldCharType="begin">
          <w:fldData xml:space="preserve">PEVuZE5vdGU+PENpdGU+PEF1dGhvcj5DaGFjaG91YTwvQXV0aG9yPjxZZWFyPjIwMjA8L1llYXI+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PEVuZE5vdGU+PENpdGU+PEF1dGhvcj5DaGFjaG91YTwvQXV0aG9yPjxZZWFyPjIwMjA8L1llYXI+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00D70AFB" w:rsidRPr="00F46EF2">
        <w:rPr>
          <w:rFonts w:ascii="Times New Roman" w:eastAsia="ＭＳ Ｐ明朝" w:hAnsi="Times New Roman"/>
          <w:sz w:val="20"/>
          <w:szCs w:val="21"/>
        </w:rPr>
      </w:r>
      <w:r w:rsidR="00D70AFB"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rPr>
        <w:t>[31-33]</w:t>
      </w:r>
      <w:r w:rsidR="00D70AFB" w:rsidRPr="00F46EF2">
        <w:rPr>
          <w:rFonts w:ascii="Times New Roman" w:eastAsia="ＭＳ Ｐ明朝" w:hAnsi="Times New Roman"/>
          <w:sz w:val="20"/>
          <w:szCs w:val="21"/>
        </w:rPr>
        <w:fldChar w:fldCharType="end"/>
      </w:r>
      <w:r w:rsidR="00D70AFB" w:rsidRPr="00F46EF2">
        <w:rPr>
          <w:rFonts w:ascii="Times New Roman" w:eastAsia="ＭＳ Ｐ明朝" w:hAnsi="Times New Roman"/>
          <w:sz w:val="20"/>
          <w:szCs w:val="21"/>
        </w:rPr>
        <w:t xml:space="preserve">: </w:t>
      </w:r>
    </w:p>
    <w:p w14:paraId="4E3C6234" w14:textId="77777777" w:rsidR="00FF745D" w:rsidRPr="00F46EF2" w:rsidRDefault="00000000">
      <w:pPr>
        <w:pStyle w:val="a3"/>
        <w:numPr>
          <w:ilvl w:val="0"/>
          <w:numId w:val="54"/>
        </w:numPr>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参加：</w:t>
      </w:r>
      <w:r w:rsidR="00D70AFB" w:rsidRPr="00F46EF2">
        <w:rPr>
          <w:rFonts w:ascii="Times New Roman" w:eastAsia="ＭＳ Ｐ明朝" w:hAnsi="Times New Roman"/>
          <w:sz w:val="20"/>
          <w:szCs w:val="21"/>
          <w:lang w:eastAsia="ja-JP"/>
        </w:rPr>
        <w:t>患者優先の</w:t>
      </w:r>
      <w:r w:rsidR="001448B7" w:rsidRPr="00F46EF2">
        <w:rPr>
          <w:rFonts w:ascii="Times New Roman" w:eastAsia="ＭＳ Ｐ明朝" w:hAnsi="Times New Roman"/>
          <w:sz w:val="20"/>
          <w:szCs w:val="21"/>
          <w:lang w:eastAsia="ja-JP"/>
        </w:rPr>
        <w:t>インプットとは、</w:t>
      </w:r>
      <w:r w:rsidR="00D70AFB" w:rsidRPr="00F46EF2">
        <w:rPr>
          <w:rFonts w:ascii="Times New Roman" w:eastAsia="ＭＳ Ｐ明朝" w:hAnsi="Times New Roman"/>
          <w:sz w:val="20"/>
          <w:szCs w:val="21"/>
          <w:lang w:eastAsia="ja-JP"/>
        </w:rPr>
        <w:t>HTA</w:t>
      </w:r>
      <w:r w:rsidR="00D70AFB" w:rsidRPr="00F46EF2">
        <w:rPr>
          <w:rFonts w:ascii="Times New Roman" w:eastAsia="ＭＳ Ｐ明朝" w:hAnsi="Times New Roman"/>
          <w:sz w:val="20"/>
          <w:szCs w:val="21"/>
          <w:lang w:eastAsia="ja-JP"/>
        </w:rPr>
        <w:t>プロセスの様々な段階における議論に、患者やその代表者を参加させることを指す</w:t>
      </w:r>
      <w:proofErr w:type="spellEnd"/>
      <w:r w:rsidR="008533E9" w:rsidRPr="00F46EF2">
        <w:rPr>
          <w:rFonts w:ascii="Times New Roman" w:eastAsia="ＭＳ Ｐ明朝" w:hAnsi="Times New Roman"/>
          <w:sz w:val="20"/>
          <w:szCs w:val="21"/>
          <w:lang w:eastAsia="ja-JP"/>
        </w:rPr>
        <w:t>。</w:t>
      </w:r>
      <w:r w:rsidR="008533E9" w:rsidRPr="00F46EF2">
        <w:rPr>
          <w:rFonts w:ascii="Times New Roman" w:eastAsia="ＭＳ Ｐ明朝" w:hAnsi="Times New Roman"/>
          <w:sz w:val="20"/>
          <w:szCs w:val="21"/>
          <w:lang w:eastAsia="ja-JP"/>
        </w:rPr>
        <w:t xml:space="preserve"> </w:t>
      </w:r>
    </w:p>
    <w:p w14:paraId="7D90350F" w14:textId="77777777" w:rsidR="00FF745D" w:rsidRPr="00F46EF2" w:rsidRDefault="00000000">
      <w:pPr>
        <w:pStyle w:val="a3"/>
        <w:numPr>
          <w:ilvl w:val="0"/>
          <w:numId w:val="54"/>
        </w:numPr>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患者ベースのエビデンス：</w:t>
      </w:r>
      <w:r w:rsidR="00D70AFB" w:rsidRPr="00F46EF2">
        <w:rPr>
          <w:rFonts w:ascii="Times New Roman" w:eastAsia="ＭＳ Ｐ明朝" w:hAnsi="Times New Roman"/>
          <w:sz w:val="20"/>
          <w:szCs w:val="21"/>
          <w:lang w:eastAsia="ja-JP"/>
        </w:rPr>
        <w:t>患者嗜好の</w:t>
      </w:r>
      <w:r w:rsidRPr="00F46EF2">
        <w:rPr>
          <w:rFonts w:ascii="Times New Roman" w:eastAsia="ＭＳ Ｐ明朝" w:hAnsi="Times New Roman"/>
          <w:sz w:val="20"/>
          <w:szCs w:val="21"/>
          <w:lang w:eastAsia="ja-JP"/>
        </w:rPr>
        <w:t>入力とは、</w:t>
      </w:r>
      <w:r w:rsidR="00D70AFB" w:rsidRPr="00F46EF2">
        <w:rPr>
          <w:rFonts w:ascii="Times New Roman" w:eastAsia="ＭＳ Ｐ明朝" w:hAnsi="Times New Roman"/>
          <w:sz w:val="20"/>
          <w:szCs w:val="21"/>
          <w:lang w:eastAsia="ja-JP"/>
        </w:rPr>
        <w:t>患者／患者代表の価値観や経験の収集を指す。これには、体系的な方法（調査、質的インタビューなど）を用いてデータを収集し、</w:t>
      </w:r>
      <w:r w:rsidR="00D70AFB" w:rsidRPr="00F46EF2">
        <w:rPr>
          <w:rFonts w:ascii="Times New Roman" w:eastAsia="ＭＳ Ｐ明朝" w:hAnsi="Times New Roman"/>
          <w:sz w:val="20"/>
          <w:szCs w:val="21"/>
          <w:lang w:eastAsia="ja-JP"/>
        </w:rPr>
        <w:t xml:space="preserve"> </w:t>
      </w:r>
      <w:r w:rsidR="008533E9" w:rsidRPr="00F46EF2">
        <w:rPr>
          <w:rFonts w:ascii="Times New Roman" w:eastAsia="ＭＳ Ｐ明朝" w:hAnsi="Times New Roman"/>
          <w:sz w:val="20"/>
          <w:szCs w:val="21"/>
          <w:lang w:eastAsia="ja-JP"/>
        </w:rPr>
        <w:t>報告のために</w:t>
      </w:r>
      <w:r w:rsidR="00D70AFB" w:rsidRPr="00F46EF2">
        <w:rPr>
          <w:rFonts w:ascii="Times New Roman" w:eastAsia="ＭＳ Ｐ明朝" w:hAnsi="Times New Roman"/>
          <w:sz w:val="20"/>
          <w:szCs w:val="21"/>
          <w:lang w:eastAsia="ja-JP"/>
        </w:rPr>
        <w:t>データを分析</w:t>
      </w:r>
      <w:r w:rsidR="008533E9" w:rsidRPr="00F46EF2">
        <w:rPr>
          <w:rFonts w:ascii="Times New Roman" w:eastAsia="ＭＳ Ｐ明朝" w:hAnsi="Times New Roman"/>
          <w:sz w:val="20"/>
          <w:szCs w:val="21"/>
          <w:lang w:eastAsia="ja-JP"/>
        </w:rPr>
        <w:t>する</w:t>
      </w:r>
      <w:r w:rsidR="00D70AFB" w:rsidRPr="00F46EF2">
        <w:rPr>
          <w:rFonts w:ascii="Times New Roman" w:eastAsia="ＭＳ Ｐ明朝" w:hAnsi="Times New Roman"/>
          <w:sz w:val="20"/>
          <w:szCs w:val="21"/>
          <w:lang w:eastAsia="ja-JP"/>
        </w:rPr>
        <w:t>研究が含まれる。例えば、</w:t>
      </w:r>
      <w:r w:rsidR="00D70AFB" w:rsidRPr="00F46EF2">
        <w:rPr>
          <w:rFonts w:ascii="Times New Roman" w:eastAsia="ＭＳ Ｐ明朝" w:hAnsi="Times New Roman"/>
          <w:sz w:val="20"/>
          <w:szCs w:val="21"/>
          <w:lang w:eastAsia="ja-JP"/>
        </w:rPr>
        <w:t>QALY</w:t>
      </w:r>
      <w:r w:rsidR="00D70AFB" w:rsidRPr="00F46EF2">
        <w:rPr>
          <w:rFonts w:ascii="Times New Roman" w:eastAsia="ＭＳ Ｐ明朝" w:hAnsi="Times New Roman"/>
          <w:sz w:val="20"/>
          <w:szCs w:val="21"/>
          <w:lang w:eastAsia="ja-JP"/>
        </w:rPr>
        <w:t>ウエイトの算出に用いる健康状態の評価のために患者から収集したデータ（例</w:t>
      </w:r>
      <w:r w:rsidR="00D70AFB" w:rsidRPr="00F46EF2">
        <w:rPr>
          <w:rFonts w:ascii="Times New Roman" w:eastAsia="ＭＳ Ｐ明朝" w:hAnsi="Times New Roman"/>
          <w:sz w:val="20"/>
          <w:szCs w:val="21"/>
          <w:lang w:eastAsia="ja-JP"/>
        </w:rPr>
        <w:t xml:space="preserve"> </w:t>
      </w:r>
      <w:proofErr w:type="spellStart"/>
      <w:r w:rsidR="00D70AFB" w:rsidRPr="00F46EF2">
        <w:rPr>
          <w:rFonts w:ascii="Times New Roman" w:eastAsia="ＭＳ Ｐ明朝" w:hAnsi="Times New Roman"/>
          <w:sz w:val="20"/>
          <w:szCs w:val="21"/>
          <w:lang w:eastAsia="ja-JP"/>
        </w:rPr>
        <w:t>えば、</w:t>
      </w:r>
      <w:r w:rsidR="00D70AFB" w:rsidRPr="00F46EF2">
        <w:rPr>
          <w:rFonts w:ascii="Times New Roman" w:eastAsia="ＭＳ Ｐ明朝" w:hAnsi="Times New Roman"/>
          <w:sz w:val="20"/>
          <w:szCs w:val="21"/>
          <w:lang w:eastAsia="ja-JP"/>
        </w:rPr>
        <w:t>TTO</w:t>
      </w:r>
      <w:r w:rsidR="00D70AFB" w:rsidRPr="00F46EF2">
        <w:rPr>
          <w:rFonts w:ascii="Times New Roman" w:eastAsia="ＭＳ Ｐ明朝" w:hAnsi="Times New Roman"/>
          <w:sz w:val="20"/>
          <w:szCs w:val="21"/>
          <w:lang w:eastAsia="ja-JP"/>
        </w:rPr>
        <w:t>による</w:t>
      </w:r>
      <w:proofErr w:type="spellEnd"/>
      <w:r w:rsidR="00D70AFB" w:rsidRPr="00F46EF2">
        <w:rPr>
          <w:rFonts w:ascii="Times New Roman" w:eastAsia="ＭＳ Ｐ明朝" w:hAnsi="Times New Roman"/>
          <w:sz w:val="20"/>
          <w:szCs w:val="21"/>
          <w:lang w:eastAsia="ja-JP"/>
        </w:rPr>
        <w:t>）、</w:t>
      </w:r>
      <w:proofErr w:type="spellStart"/>
      <w:r w:rsidR="00D70AFB" w:rsidRPr="00F46EF2">
        <w:rPr>
          <w:rFonts w:ascii="Times New Roman" w:eastAsia="ＭＳ Ｐ明朝" w:hAnsi="Times New Roman"/>
          <w:sz w:val="20"/>
          <w:szCs w:val="21"/>
          <w:lang w:eastAsia="ja-JP"/>
        </w:rPr>
        <w:t>又は離散選択実験（</w:t>
      </w:r>
      <w:r w:rsidR="00D70AFB" w:rsidRPr="00F46EF2">
        <w:rPr>
          <w:rFonts w:ascii="Times New Roman" w:eastAsia="ＭＳ Ｐ明朝" w:hAnsi="Times New Roman"/>
          <w:sz w:val="20"/>
          <w:szCs w:val="21"/>
          <w:lang w:eastAsia="ja-JP"/>
        </w:rPr>
        <w:t>DCE</w:t>
      </w:r>
      <w:r w:rsidR="00D70AFB" w:rsidRPr="00F46EF2">
        <w:rPr>
          <w:rFonts w:ascii="Times New Roman" w:eastAsia="ＭＳ Ｐ明朝" w:hAnsi="Times New Roman"/>
          <w:sz w:val="20"/>
          <w:szCs w:val="21"/>
          <w:lang w:eastAsia="ja-JP"/>
        </w:rPr>
        <w:t>）のような陳述嗜好法を用いて患者の嗜好を検討し、裏付</w:t>
      </w:r>
      <w:proofErr w:type="spellEnd"/>
      <w:r w:rsidR="00D70AFB" w:rsidRPr="00F46EF2">
        <w:rPr>
          <w:rFonts w:ascii="Times New Roman" w:eastAsia="ＭＳ Ｐ明朝" w:hAnsi="Times New Roman"/>
          <w:sz w:val="20"/>
          <w:szCs w:val="21"/>
          <w:lang w:eastAsia="ja-JP"/>
        </w:rPr>
        <w:t xml:space="preserve"> </w:t>
      </w:r>
      <w:proofErr w:type="spellStart"/>
      <w:r w:rsidR="00D70AFB" w:rsidRPr="00F46EF2">
        <w:rPr>
          <w:rFonts w:ascii="Times New Roman" w:eastAsia="ＭＳ Ｐ明朝" w:hAnsi="Times New Roman"/>
          <w:sz w:val="20"/>
          <w:szCs w:val="21"/>
          <w:lang w:eastAsia="ja-JP"/>
        </w:rPr>
        <w:t>けとなるエビデンスとして提示することができる。</w:t>
      </w:r>
      <w:r w:rsidR="008533E9" w:rsidRPr="00F46EF2">
        <w:rPr>
          <w:rFonts w:ascii="Times New Roman" w:eastAsia="ＭＳ Ｐ明朝" w:hAnsi="Times New Roman"/>
          <w:sz w:val="20"/>
          <w:szCs w:val="21"/>
          <w:lang w:eastAsia="ja-JP"/>
        </w:rPr>
        <w:t>同様に、質的インタビューを通じて収集されたデータは、</w:t>
      </w:r>
      <w:r w:rsidR="008533E9" w:rsidRPr="00F46EF2">
        <w:rPr>
          <w:rFonts w:ascii="Times New Roman" w:eastAsia="ＭＳ Ｐ明朝" w:hAnsi="Times New Roman"/>
          <w:sz w:val="20"/>
          <w:szCs w:val="21"/>
          <w:lang w:eastAsia="ja-JP"/>
        </w:rPr>
        <w:t>HTA</w:t>
      </w:r>
      <w:r w:rsidR="008533E9" w:rsidRPr="00F46EF2">
        <w:rPr>
          <w:rFonts w:ascii="Times New Roman" w:eastAsia="ＭＳ Ｐ明朝" w:hAnsi="Times New Roman"/>
          <w:sz w:val="20"/>
          <w:szCs w:val="21"/>
          <w:lang w:eastAsia="ja-JP"/>
        </w:rPr>
        <w:t>の意思決定</w:t>
      </w:r>
      <w:proofErr w:type="spellEnd"/>
      <w:r w:rsidR="008533E9" w:rsidRPr="00F46EF2">
        <w:rPr>
          <w:rFonts w:ascii="Times New Roman" w:eastAsia="ＭＳ Ｐ明朝" w:hAnsi="Times New Roman"/>
          <w:sz w:val="20"/>
          <w:szCs w:val="21"/>
          <w:lang w:eastAsia="ja-JP"/>
        </w:rPr>
        <w:t xml:space="preserve"> </w:t>
      </w:r>
      <w:proofErr w:type="spellStart"/>
      <w:r w:rsidR="008533E9" w:rsidRPr="00F46EF2">
        <w:rPr>
          <w:rFonts w:ascii="Times New Roman" w:eastAsia="ＭＳ Ｐ明朝" w:hAnsi="Times New Roman"/>
          <w:sz w:val="20"/>
          <w:szCs w:val="21"/>
          <w:lang w:eastAsia="ja-JP"/>
        </w:rPr>
        <w:t>の背景を設定する際や、定量化されていない領域（例えば、利便性、自律性、治</w:t>
      </w:r>
      <w:proofErr w:type="spellEnd"/>
      <w:r w:rsidR="008533E9" w:rsidRPr="00F46EF2">
        <w:rPr>
          <w:rFonts w:ascii="Times New Roman" w:eastAsia="ＭＳ Ｐ明朝" w:hAnsi="Times New Roman"/>
          <w:sz w:val="20"/>
          <w:szCs w:val="21"/>
          <w:lang w:eastAsia="ja-JP"/>
        </w:rPr>
        <w:t xml:space="preserve"> </w:t>
      </w:r>
      <w:proofErr w:type="spellStart"/>
      <w:r w:rsidR="008533E9" w:rsidRPr="00F46EF2">
        <w:rPr>
          <w:rFonts w:ascii="Times New Roman" w:eastAsia="ＭＳ Ｐ明朝" w:hAnsi="Times New Roman"/>
          <w:sz w:val="20"/>
          <w:szCs w:val="21"/>
          <w:lang w:eastAsia="ja-JP"/>
        </w:rPr>
        <w:t>療過程の変化など）の価値提案の枠組みを設定する際に有益であろう</w:t>
      </w:r>
      <w:proofErr w:type="spellEnd"/>
      <w:r w:rsidR="008533E9" w:rsidRPr="00F46EF2">
        <w:rPr>
          <w:rFonts w:ascii="Times New Roman" w:eastAsia="ＭＳ Ｐ明朝" w:hAnsi="Times New Roman"/>
          <w:sz w:val="20"/>
          <w:szCs w:val="21"/>
          <w:lang w:eastAsia="ja-JP"/>
        </w:rPr>
        <w:t>。</w:t>
      </w:r>
    </w:p>
    <w:p w14:paraId="20508E4A"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一般的に、多くの</w:t>
      </w:r>
      <w:r w:rsidR="0064555B" w:rsidRPr="00F46EF2">
        <w:rPr>
          <w:rFonts w:ascii="Times New Roman" w:eastAsia="ＭＳ Ｐ明朝" w:hAnsi="Times New Roman"/>
          <w:sz w:val="20"/>
          <w:szCs w:val="21"/>
          <w:lang w:eastAsia="ja-JP"/>
        </w:rPr>
        <w:t>国・地域では、患者</w:t>
      </w:r>
      <w:r w:rsidRPr="00F46EF2">
        <w:rPr>
          <w:rFonts w:ascii="Times New Roman" w:eastAsia="ＭＳ Ｐ明朝" w:hAnsi="Times New Roman"/>
          <w:sz w:val="20"/>
          <w:szCs w:val="21"/>
          <w:lang w:eastAsia="ja-JP"/>
        </w:rPr>
        <w:t>との協議を含む直接的な情報提供を通じて</w:t>
      </w:r>
      <w:r w:rsidR="008533E9"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患者の嗜好を考慮</w:t>
      </w:r>
      <w:proofErr w:type="spellEnd"/>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していることがわかった</w:t>
      </w:r>
      <w:r w:rsidR="008533E9"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これには、オーストラリア（</w:t>
      </w:r>
      <w:r w:rsidRPr="00F46EF2">
        <w:rPr>
          <w:rFonts w:ascii="Times New Roman" w:eastAsia="ＭＳ Ｐ明朝" w:hAnsi="Times New Roman"/>
          <w:sz w:val="20"/>
          <w:szCs w:val="21"/>
          <w:lang w:eastAsia="ja-JP"/>
        </w:rPr>
        <w:t>PBAC/MSAC</w:t>
      </w:r>
      <w:r w:rsidRPr="00F46EF2">
        <w:rPr>
          <w:rFonts w:ascii="Times New Roman" w:eastAsia="ＭＳ Ｐ明朝" w:hAnsi="Times New Roman"/>
          <w:sz w:val="20"/>
          <w:szCs w:val="21"/>
          <w:lang w:eastAsia="ja-JP"/>
        </w:rPr>
        <w:t>）、イングランド・ウェールズ（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）、カナダ（</w:t>
      </w:r>
      <w:r w:rsidRPr="00F46EF2">
        <w:rPr>
          <w:rFonts w:ascii="Times New Roman" w:eastAsia="ＭＳ Ｐ明朝" w:hAnsi="Times New Roman"/>
          <w:sz w:val="20"/>
          <w:szCs w:val="21"/>
          <w:lang w:eastAsia="ja-JP"/>
        </w:rPr>
        <w:t>CADTH</w:t>
      </w:r>
      <w:r w:rsidRPr="00F46EF2">
        <w:rPr>
          <w:rFonts w:ascii="Times New Roman" w:eastAsia="ＭＳ Ｐ明朝" w:hAnsi="Times New Roman"/>
          <w:sz w:val="20"/>
          <w:szCs w:val="21"/>
          <w:lang w:eastAsia="ja-JP"/>
        </w:rPr>
        <w:t>）、ニュージーランド（</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w:t>
      </w:r>
      <w:r w:rsidR="008C54AB"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シンガポール（</w:t>
      </w:r>
      <w:r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）が含まれ</w:t>
      </w:r>
      <w:r w:rsidRPr="00F46EF2">
        <w:rPr>
          <w:rFonts w:ascii="Times New Roman" w:eastAsia="ＭＳ Ｐ明朝" w:hAnsi="Times New Roman"/>
          <w:sz w:val="20"/>
          <w:szCs w:val="21"/>
          <w:lang w:eastAsia="ja-JP"/>
        </w:rPr>
        <w:lastRenderedPageBreak/>
        <w:t>る。また、イングランド・ウェールズ（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オランダ（</w:t>
      </w:r>
      <w:r w:rsidRPr="00F46EF2">
        <w:rPr>
          <w:rFonts w:ascii="Times New Roman" w:eastAsia="ＭＳ Ｐ明朝" w:hAnsi="Times New Roman"/>
          <w:sz w:val="20"/>
          <w:szCs w:val="21"/>
          <w:lang w:eastAsia="ja-JP"/>
        </w:rPr>
        <w:t>ZIN</w:t>
      </w:r>
      <w:proofErr w:type="spellEnd"/>
      <w:r w:rsidRPr="00F46EF2">
        <w:rPr>
          <w:rFonts w:ascii="Times New Roman" w:eastAsia="ＭＳ Ｐ明朝" w:hAnsi="Times New Roman"/>
          <w:sz w:val="20"/>
          <w:szCs w:val="21"/>
          <w:lang w:eastAsia="ja-JP"/>
        </w:rPr>
        <w:t>）、日本（</w:t>
      </w:r>
      <w:r w:rsidRPr="00F46EF2">
        <w:rPr>
          <w:rFonts w:ascii="Times New Roman" w:eastAsia="ＭＳ Ｐ明朝" w:hAnsi="Times New Roman"/>
          <w:sz w:val="20"/>
          <w:szCs w:val="21"/>
          <w:lang w:eastAsia="ja-JP"/>
        </w:rPr>
        <w:t>C2H</w:t>
      </w:r>
      <w:r w:rsidRPr="00F46EF2">
        <w:rPr>
          <w:rFonts w:ascii="Times New Roman" w:eastAsia="ＭＳ Ｐ明朝" w:hAnsi="Times New Roman"/>
          <w:sz w:val="20"/>
          <w:szCs w:val="21"/>
          <w:lang w:eastAsia="ja-JP"/>
        </w:rPr>
        <w:t>）のように、間接的な入力方法（コンジョイント分析や分析的</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階層過程などの定性的・定量的方法）の検討について明確に言及している</w:t>
      </w:r>
      <w:r w:rsidR="0064555B" w:rsidRPr="00F46EF2">
        <w:rPr>
          <w:rFonts w:ascii="Times New Roman" w:eastAsia="ＭＳ Ｐ明朝" w:hAnsi="Times New Roman"/>
          <w:sz w:val="20"/>
          <w:szCs w:val="21"/>
          <w:lang w:eastAsia="ja-JP"/>
        </w:rPr>
        <w:t>法域もいくつかあった</w:t>
      </w:r>
      <w:proofErr w:type="spellEnd"/>
      <w:r w:rsidR="0064555B" w:rsidRPr="00F46EF2">
        <w:rPr>
          <w:rFonts w:ascii="Times New Roman" w:eastAsia="ＭＳ Ｐ明朝" w:hAnsi="Times New Roman"/>
          <w:sz w:val="20"/>
          <w:szCs w:val="21"/>
          <w:lang w:eastAsia="ja-JP"/>
        </w:rPr>
        <w:t>。</w:t>
      </w:r>
      <w:r w:rsidR="0064555B" w:rsidRPr="00F46EF2">
        <w:rPr>
          <w:rFonts w:ascii="Times New Roman" w:eastAsia="ＭＳ Ｐ明朝" w:hAnsi="Times New Roman"/>
          <w:sz w:val="20"/>
          <w:szCs w:val="21"/>
          <w:lang w:eastAsia="ja-JP"/>
        </w:rPr>
        <w:t xml:space="preserve"> </w:t>
      </w:r>
    </w:p>
    <w:p w14:paraId="4D6F80E0"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患者の嗜好は、経済モデリングや</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とは別に、</w:t>
      </w:r>
      <w:r w:rsidR="00575B58" w:rsidRPr="00F46EF2">
        <w:rPr>
          <w:rFonts w:ascii="Times New Roman" w:eastAsia="ＭＳ Ｐ明朝" w:hAnsi="Times New Roman"/>
          <w:sz w:val="20"/>
          <w:szCs w:val="21"/>
          <w:lang w:eastAsia="ja-JP"/>
        </w:rPr>
        <w:t>参加や患者ベースのエビデンスの利用によって</w:t>
      </w:r>
      <w:r w:rsidRPr="00F46EF2">
        <w:rPr>
          <w:rFonts w:ascii="Times New Roman" w:eastAsia="ＭＳ Ｐ明朝" w:hAnsi="Times New Roman"/>
          <w:sz w:val="20"/>
          <w:szCs w:val="21"/>
          <w:lang w:eastAsia="ja-JP"/>
        </w:rPr>
        <w:t>把握され、裏付けとなるエビデンスとして用いられることが多い。しかし、患者の嗜好を申請や</w:t>
      </w:r>
      <w:r w:rsidR="00131BD2" w:rsidRPr="00F46EF2">
        <w:rPr>
          <w:rFonts w:ascii="Times New Roman" w:eastAsia="ＭＳ Ｐ明朝" w:hAnsi="Times New Roman"/>
          <w:sz w:val="20"/>
          <w:szCs w:val="21"/>
          <w:lang w:eastAsia="ja-JP"/>
        </w:rPr>
        <w:t>意思決定の</w:t>
      </w:r>
      <w:r w:rsidRPr="00F46EF2">
        <w:rPr>
          <w:rFonts w:ascii="Times New Roman" w:eastAsia="ＭＳ Ｐ明朝" w:hAnsi="Times New Roman"/>
          <w:sz w:val="20"/>
          <w:szCs w:val="21"/>
          <w:lang w:eastAsia="ja-JP"/>
        </w:rPr>
        <w:t>プロセスに取り入れることには、課題もある。</w:t>
      </w:r>
      <w:bookmarkStart w:id="18" w:name="_Hlk152679425"/>
      <w:r w:rsidR="00F8456D" w:rsidRPr="00F46EF2">
        <w:rPr>
          <w:rFonts w:ascii="Times New Roman" w:eastAsia="ＭＳ Ｐ明朝" w:hAnsi="Times New Roman"/>
          <w:sz w:val="20"/>
          <w:szCs w:val="21"/>
          <w:lang w:eastAsia="ja-JP"/>
        </w:rPr>
        <w:t>参加を通じて</w:t>
      </w:r>
      <w:r w:rsidR="008B43D8" w:rsidRPr="00F46EF2">
        <w:rPr>
          <w:rFonts w:ascii="Times New Roman" w:eastAsia="ＭＳ Ｐ明朝" w:hAnsi="Times New Roman"/>
          <w:sz w:val="20"/>
          <w:szCs w:val="21"/>
          <w:lang w:eastAsia="ja-JP"/>
        </w:rPr>
        <w:t>意見を取り入れることについては、厳しい時間枠を含む</w:t>
      </w:r>
      <w:r w:rsidRPr="00F46EF2">
        <w:rPr>
          <w:rFonts w:ascii="Times New Roman" w:eastAsia="ＭＳ Ｐ明朝" w:hAnsi="Times New Roman"/>
          <w:sz w:val="20"/>
          <w:szCs w:val="21"/>
          <w:lang w:eastAsia="ja-JP"/>
        </w:rPr>
        <w:t>いくつかの</w:t>
      </w:r>
      <w:r w:rsidR="008B43D8" w:rsidRPr="00F46EF2">
        <w:rPr>
          <w:rFonts w:ascii="Times New Roman" w:eastAsia="ＭＳ Ｐ明朝" w:hAnsi="Times New Roman"/>
          <w:sz w:val="20"/>
          <w:szCs w:val="21"/>
          <w:lang w:eastAsia="ja-JP"/>
        </w:rPr>
        <w:t>課題が提起されている。</w:t>
      </w:r>
      <w:r w:rsidR="008B43D8" w:rsidRPr="00F46EF2">
        <w:rPr>
          <w:rFonts w:ascii="Times New Roman" w:eastAsia="ＭＳ Ｐ明朝" w:hAnsi="Times New Roman"/>
          <w:sz w:val="20"/>
          <w:szCs w:val="21"/>
          <w:lang w:eastAsia="ja-JP"/>
        </w:rPr>
        <w:t xml:space="preserve"> </w:t>
      </w:r>
      <w:r w:rsidR="008B43D8" w:rsidRPr="00F46EF2">
        <w:rPr>
          <w:rFonts w:ascii="Times New Roman" w:eastAsia="ＭＳ Ｐ明朝" w:hAnsi="Times New Roman"/>
          <w:sz w:val="20"/>
          <w:szCs w:val="21"/>
        </w:rPr>
        <w:fldChar w:fldCharType="begin">
          <w:fldData xml:space="preserve">PEVuZE5vdGU+PENpdGU+PEF1dGhvcj52YW4gT3ZlcmJlZWtlPC9BdXRob3I+PFllYXI+MjAyMTwv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PEVuZE5vdGU+PENpdGU+PEF1dGhvcj52YW4gT3ZlcmJlZWtlPC9BdXRob3I+PFllYXI+MjAyMTwv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008B43D8" w:rsidRPr="00F46EF2">
        <w:rPr>
          <w:rFonts w:ascii="Times New Roman" w:eastAsia="ＭＳ Ｐ明朝" w:hAnsi="Times New Roman"/>
          <w:sz w:val="20"/>
          <w:szCs w:val="21"/>
        </w:rPr>
      </w:r>
      <w:r w:rsidR="008B43D8"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[31, 34, 35]</w:t>
      </w:r>
      <w:r w:rsidR="008B43D8" w:rsidRPr="00F46EF2">
        <w:rPr>
          <w:rFonts w:ascii="Times New Roman" w:eastAsia="ＭＳ Ｐ明朝" w:hAnsi="Times New Roman"/>
          <w:sz w:val="20"/>
          <w:szCs w:val="21"/>
        </w:rPr>
        <w:fldChar w:fldCharType="end"/>
      </w:r>
      <w:proofErr w:type="spellStart"/>
      <w:r w:rsidR="008B43D8" w:rsidRPr="00F46EF2">
        <w:rPr>
          <w:rFonts w:ascii="Times New Roman" w:eastAsia="ＭＳ Ｐ明朝" w:hAnsi="Times New Roman"/>
          <w:sz w:val="20"/>
          <w:szCs w:val="21"/>
          <w:lang w:eastAsia="ja-JP"/>
        </w:rPr>
        <w:t>患者にさらなる負担を強いる</w:t>
      </w:r>
      <w:proofErr w:type="spellEnd"/>
      <w:r w:rsidR="008B43D8" w:rsidRPr="00F46EF2">
        <w:rPr>
          <w:rFonts w:ascii="Times New Roman" w:eastAsia="ＭＳ Ｐ明朝" w:hAnsi="Times New Roman"/>
          <w:sz w:val="20"/>
          <w:szCs w:val="21"/>
          <w:lang w:eastAsia="ja-JP"/>
        </w:rPr>
        <w:t xml:space="preserve"> </w:t>
      </w:r>
      <w:r w:rsidR="008B43D8" w:rsidRPr="00F46EF2">
        <w:rPr>
          <w:rFonts w:ascii="Times New Roman" w:eastAsia="ＭＳ Ｐ明朝" w:hAnsi="Times New Roman"/>
          <w:sz w:val="20"/>
          <w:szCs w:val="21"/>
        </w:rPr>
        <w:fldChar w:fldCharType="begin">
          <w:fldData xml:space="preserve">PEVuZE5vdGU+PENpdGU+PEF1dGhvcj5DaGFjaG91YTwvQXV0aG9yPjxZZWFyPjIwMjA8L1llYXI+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=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PEVuZE5vdGU+PENpdGU+PEF1dGhvcj5DaGFjaG91YTwvQXV0aG9yPjxZZWFyPjIwMjA8L1llYXI+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=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008B43D8" w:rsidRPr="00F46EF2">
        <w:rPr>
          <w:rFonts w:ascii="Times New Roman" w:eastAsia="ＭＳ Ｐ明朝" w:hAnsi="Times New Roman"/>
          <w:sz w:val="20"/>
          <w:szCs w:val="21"/>
        </w:rPr>
      </w:r>
      <w:r w:rsidR="008B43D8"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[31, 35]</w:t>
      </w:r>
      <w:proofErr w:type="spellStart"/>
      <w:r w:rsidR="008B43D8" w:rsidRPr="00F46EF2">
        <w:rPr>
          <w:rFonts w:ascii="Times New Roman" w:eastAsia="ＭＳ Ｐ明朝" w:hAnsi="Times New Roman"/>
          <w:sz w:val="20"/>
          <w:szCs w:val="21"/>
        </w:rPr>
        <w:fldChar w:fldCharType="end"/>
      </w:r>
      <w:r w:rsidR="00B75A1F" w:rsidRPr="00F46EF2">
        <w:rPr>
          <w:rFonts w:ascii="Times New Roman" w:eastAsia="ＭＳ Ｐ明朝" w:hAnsi="Times New Roman"/>
          <w:sz w:val="20"/>
          <w:szCs w:val="21"/>
          <w:lang w:eastAsia="ja-JP"/>
        </w:rPr>
        <w:t>関連する患者グループ組織や特定の患者を特定することが困難である</w:t>
      </w:r>
      <w:proofErr w:type="spellEnd"/>
      <w:r w:rsidR="008B43D8" w:rsidRPr="00F46EF2">
        <w:rPr>
          <w:rFonts w:ascii="Times New Roman" w:eastAsia="ＭＳ Ｐ明朝" w:hAnsi="Times New Roman"/>
          <w:sz w:val="20"/>
          <w:szCs w:val="21"/>
          <w:lang w:eastAsia="ja-JP"/>
        </w:rPr>
        <w:t>。</w:t>
      </w:r>
      <w:r w:rsidR="008B43D8" w:rsidRPr="00F46EF2">
        <w:rPr>
          <w:rFonts w:ascii="Times New Roman" w:eastAsia="ＭＳ Ｐ明朝" w:hAnsi="Times New Roman"/>
          <w:sz w:val="20"/>
          <w:szCs w:val="21"/>
          <w:lang w:eastAsia="ja-JP"/>
        </w:rPr>
        <w:t xml:space="preserve"> </w:t>
      </w:r>
      <w:r w:rsidR="008B43D8"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&lt;EndNote&gt;&lt;Cite&gt;&lt;Author&gt;Elvsaas&lt;/Author&gt;&lt;Year&gt;2021&lt;/Year&gt;&lt;RecNum&gt;20&lt;/RecNum&gt;&lt;DisplayText&gt;[35]&lt;/DisplayText&gt;&lt;record&gt;&lt;rec-number&gt;20&lt;/rec-number&gt;&lt;foreign-keys&gt;&lt;key app="EN" db-id="z25xddsz659sshedpdu5pda3dswx20f99sf9" timestamp="1692001881"&gt;20&lt;/key&gt;&lt;/foreign-keys&gt;&lt;ref-type name="Journal Article"&gt;17&lt;/ref-type&gt;&lt;contributors&gt;&lt;authors&gt;&lt;author&gt;Elvsaas, IkØ&lt;/author&gt;&lt;author&gt;Ettinger, S.&lt;/author&gt;&lt;author&gt;Willemsen, A.&lt;/author&gt;&lt;/authors&gt;&lt;/contributors&gt;&lt;auth-address&gt;Norwegian Institute of Public Health, PO Box 222 Skøyen, N-0213Oslo, Norway.&amp;#xD;HTA Austria - Austrian Institute for Health Technology Assessment GmbH, Vienna, Austria.&amp;#xD;The National Health Care Institute, Diemen, The Netherlands.&lt;/auth-address&gt;&lt;titles&gt;&lt;title&gt;Patient involvement in relative effectiveness assessments in the European Network for Health Technology Assessment&lt;/title&gt;&lt;secondary-title&gt;Int J Technol Assess Health Care&lt;/secondary-title&gt;&lt;/titles&gt;&lt;periodical&gt;&lt;full-title&gt;Int J Technol Assess Health Care&lt;/full-title&gt;&lt;/periodical&gt;&lt;pages&gt;e24&lt;/pages&gt;&lt;volume&gt;37&lt;/volume&gt;&lt;edition&gt;20210120&lt;/edition&gt;&lt;keywords&gt;&lt;keyword&gt;*Efficiency, Organizational&lt;/keyword&gt;&lt;keyword&gt;Europe&lt;/keyword&gt;&lt;keyword&gt;Patient Participation/*methods&lt;/keyword&gt;&lt;keyword&gt;Surveys and Questionnaires&lt;/keyword&gt;&lt;keyword&gt;*Technology Assessment, Biomedical&lt;/keyword&gt;&lt;keyword&gt;European collaboration&lt;/keyword&gt;&lt;keyword&gt;Hta&lt;/keyword&gt;&lt;keyword&gt;Health technology assessment&lt;/keyword&gt;&lt;keyword&gt;Patient input&lt;/keyword&gt;&lt;keyword&gt;Patient involvement&lt;/keyword&gt;&lt;/keywords&gt;&lt;dates&gt;&lt;year&gt;2021&lt;/year&gt;&lt;pub-dates&gt;&lt;date&gt;Jan 20&lt;/date&gt;&lt;/pub-dates&gt;&lt;/dates&gt;&lt;isbn&gt;0266-4623&lt;/isbn&gt;&lt;accession-num&gt;33468275&lt;/accession-num&gt;&lt;urls&gt;&lt;/urls&gt;&lt;electronic-resource-num&gt;10.1017/s0266462320002226&lt;/electronic-resource-num&gt;&lt;remote-database-provider&gt;NLM&lt;/remote-database-provider&gt;&lt;language&gt;eng&lt;/language&gt;&lt;/record&gt;&lt;/Cite&gt;&lt;/EndNote&gt;</w:instrText>
      </w:r>
      <w:r w:rsidR="008B43D8"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[35]</w:t>
      </w:r>
      <w:r w:rsidR="008B43D8" w:rsidRPr="00F46EF2">
        <w:rPr>
          <w:rFonts w:ascii="Times New Roman" w:eastAsia="ＭＳ Ｐ明朝" w:hAnsi="Times New Roman"/>
          <w:sz w:val="20"/>
          <w:szCs w:val="21"/>
        </w:rPr>
        <w:fldChar w:fldCharType="end"/>
      </w:r>
      <w:proofErr w:type="spellStart"/>
      <w:r w:rsidR="008B43D8" w:rsidRPr="00F46EF2">
        <w:rPr>
          <w:rFonts w:ascii="Times New Roman" w:eastAsia="ＭＳ Ｐ明朝" w:hAnsi="Times New Roman"/>
          <w:sz w:val="20"/>
          <w:szCs w:val="21"/>
          <w:lang w:eastAsia="ja-JP"/>
        </w:rPr>
        <w:t>治療が安全基準を満たしたかどうかの不確実性などである</w:t>
      </w:r>
      <w:proofErr w:type="spellEnd"/>
      <w:r w:rsidR="008B43D8" w:rsidRPr="00F46EF2">
        <w:rPr>
          <w:rFonts w:ascii="Times New Roman" w:eastAsia="ＭＳ Ｐ明朝" w:hAnsi="Times New Roman"/>
          <w:sz w:val="20"/>
          <w:szCs w:val="21"/>
          <w:lang w:eastAsia="ja-JP"/>
        </w:rPr>
        <w:t>。</w:t>
      </w:r>
      <w:r w:rsidR="008B43D8" w:rsidRPr="00F46EF2">
        <w:rPr>
          <w:rFonts w:ascii="Times New Roman" w:eastAsia="ＭＳ Ｐ明朝" w:hAnsi="Times New Roman"/>
          <w:sz w:val="20"/>
          <w:szCs w:val="21"/>
          <w:lang w:eastAsia="ja-JP"/>
        </w:rPr>
        <w:t xml:space="preserve"> </w:t>
      </w:r>
      <w:bookmarkEnd w:id="18"/>
    </w:p>
    <w:p w14:paraId="15EEE1CB" w14:textId="77777777" w:rsidR="00156C9E" w:rsidRPr="001348BF" w:rsidRDefault="00156C9E" w:rsidP="00156C9E">
      <w:pPr>
        <w:pStyle w:val="a3"/>
      </w:pPr>
    </w:p>
    <w:p w14:paraId="0858E897" w14:textId="77777777" w:rsidR="00156C9E" w:rsidRDefault="00156C9E" w:rsidP="00156C9E">
      <w:pPr>
        <w:pStyle w:val="af8"/>
        <w:ind w:left="0" w:firstLine="0"/>
      </w:pPr>
      <w:bookmarkStart w:id="19" w:name="_Ref146373676"/>
      <w:r w:rsidRPr="001348BF">
        <w:t xml:space="preserve">Table </w:t>
      </w:r>
      <w:r>
        <w:fldChar w:fldCharType="begin"/>
      </w:r>
      <w:r>
        <w:instrText xml:space="preserve"> SEQ Table \* ARABIC </w:instrText>
      </w:r>
      <w:r>
        <w:fldChar w:fldCharType="separate"/>
      </w:r>
      <w:r>
        <w:rPr>
          <w:noProof/>
        </w:rPr>
        <w:t>6</w:t>
      </w:r>
      <w:r>
        <w:rPr>
          <w:noProof/>
        </w:rPr>
        <w:fldChar w:fldCharType="end"/>
      </w:r>
      <w:bookmarkEnd w:id="19"/>
      <w:r w:rsidRPr="001348BF">
        <w:tab/>
        <w:t xml:space="preserve">Explicit inclusion of patient preference evidence by </w:t>
      </w:r>
      <w:r>
        <w:t>jurisdiction</w:t>
      </w:r>
    </w:p>
    <w:tbl>
      <w:tblPr>
        <w:tblStyle w:val="af2"/>
        <w:tblW w:w="0" w:type="auto"/>
        <w:tblLayout w:type="fixed"/>
        <w:tblLook w:val="04A0" w:firstRow="1" w:lastRow="0" w:firstColumn="1" w:lastColumn="0" w:noHBand="0" w:noVBand="1"/>
        <w:tblCaption w:val="Explicit inclusion of patient preference evidence by country"/>
      </w:tblPr>
      <w:tblGrid>
        <w:gridCol w:w="1568"/>
        <w:gridCol w:w="1319"/>
        <w:gridCol w:w="1089"/>
        <w:gridCol w:w="1264"/>
        <w:gridCol w:w="1559"/>
        <w:gridCol w:w="1695"/>
      </w:tblGrid>
      <w:tr w:rsidR="00156C9E" w:rsidRPr="00DB4D2E" w14:paraId="2B03B136" w14:textId="77777777" w:rsidTr="00634CA1">
        <w:trPr>
          <w:trHeight w:val="300"/>
          <w:tblHeader/>
        </w:trPr>
        <w:tc>
          <w:tcPr>
            <w:tcW w:w="1568" w:type="dxa"/>
            <w:vMerge w:val="restart"/>
            <w:hideMark/>
          </w:tcPr>
          <w:p w14:paraId="55DF930A" w14:textId="77777777" w:rsidR="00156C9E" w:rsidRPr="00113649" w:rsidRDefault="00156C9E" w:rsidP="00634CA1">
            <w:pPr>
              <w:rPr>
                <w:b/>
                <w:bCs/>
              </w:rPr>
            </w:pPr>
            <w:r>
              <w:rPr>
                <w:b/>
                <w:bCs/>
              </w:rPr>
              <w:t>Jurisdiction</w:t>
            </w:r>
            <w:r w:rsidRPr="00113649">
              <w:rPr>
                <w:b/>
                <w:bCs/>
              </w:rPr>
              <w:t xml:space="preserve"> (agency)</w:t>
            </w:r>
          </w:p>
        </w:tc>
        <w:tc>
          <w:tcPr>
            <w:tcW w:w="1319" w:type="dxa"/>
            <w:vMerge w:val="restart"/>
            <w:hideMark/>
          </w:tcPr>
          <w:p w14:paraId="7D18CA95" w14:textId="77777777" w:rsidR="00156C9E" w:rsidRPr="00113649" w:rsidRDefault="00156C9E" w:rsidP="00634CA1">
            <w:pPr>
              <w:rPr>
                <w:b/>
                <w:bCs/>
              </w:rPr>
            </w:pPr>
            <w:r>
              <w:rPr>
                <w:b/>
                <w:bCs/>
              </w:rPr>
              <w:t>Participation</w:t>
            </w:r>
            <w:r w:rsidRPr="00113649">
              <w:rPr>
                <w:b/>
                <w:bCs/>
              </w:rPr>
              <w:t xml:space="preserve"> </w:t>
            </w:r>
          </w:p>
        </w:tc>
        <w:tc>
          <w:tcPr>
            <w:tcW w:w="2353" w:type="dxa"/>
            <w:gridSpan w:val="2"/>
            <w:hideMark/>
          </w:tcPr>
          <w:p w14:paraId="3B20C22C" w14:textId="77777777" w:rsidR="00156C9E" w:rsidRPr="00113649" w:rsidRDefault="00156C9E" w:rsidP="00634CA1">
            <w:pPr>
              <w:rPr>
                <w:b/>
                <w:bCs/>
              </w:rPr>
            </w:pPr>
            <w:r>
              <w:rPr>
                <w:b/>
                <w:bCs/>
              </w:rPr>
              <w:t>Patient based evidence</w:t>
            </w:r>
            <w:r w:rsidRPr="00113649">
              <w:rPr>
                <w:b/>
                <w:bCs/>
              </w:rPr>
              <w:t xml:space="preserve"> </w:t>
            </w:r>
          </w:p>
        </w:tc>
        <w:tc>
          <w:tcPr>
            <w:tcW w:w="3254" w:type="dxa"/>
            <w:gridSpan w:val="2"/>
            <w:noWrap/>
            <w:hideMark/>
          </w:tcPr>
          <w:p w14:paraId="72C5D830" w14:textId="77777777" w:rsidR="00156C9E" w:rsidRPr="00113649" w:rsidRDefault="00156C9E" w:rsidP="00634CA1">
            <w:pPr>
              <w:rPr>
                <w:b/>
                <w:bCs/>
              </w:rPr>
            </w:pPr>
            <w:r w:rsidRPr="00113649">
              <w:rPr>
                <w:b/>
                <w:bCs/>
              </w:rPr>
              <w:t>Input used:</w:t>
            </w:r>
          </w:p>
        </w:tc>
      </w:tr>
      <w:tr w:rsidR="00156C9E" w:rsidRPr="00DB4D2E" w14:paraId="35C5ED18" w14:textId="77777777" w:rsidTr="00634CA1">
        <w:trPr>
          <w:trHeight w:val="300"/>
          <w:tblHeader/>
        </w:trPr>
        <w:tc>
          <w:tcPr>
            <w:tcW w:w="1568" w:type="dxa"/>
            <w:vMerge/>
            <w:hideMark/>
          </w:tcPr>
          <w:p w14:paraId="47B21D30" w14:textId="77777777" w:rsidR="00156C9E" w:rsidRPr="00113649" w:rsidRDefault="00156C9E" w:rsidP="00634CA1">
            <w:pPr>
              <w:rPr>
                <w:b/>
                <w:bCs/>
              </w:rPr>
            </w:pPr>
          </w:p>
        </w:tc>
        <w:tc>
          <w:tcPr>
            <w:tcW w:w="1319" w:type="dxa"/>
            <w:vMerge/>
            <w:hideMark/>
          </w:tcPr>
          <w:p w14:paraId="17169999" w14:textId="77777777" w:rsidR="00156C9E" w:rsidRPr="00113649" w:rsidRDefault="00156C9E" w:rsidP="00634CA1">
            <w:pPr>
              <w:rPr>
                <w:b/>
                <w:bCs/>
              </w:rPr>
            </w:pPr>
          </w:p>
        </w:tc>
        <w:tc>
          <w:tcPr>
            <w:tcW w:w="1089" w:type="dxa"/>
            <w:hideMark/>
          </w:tcPr>
          <w:p w14:paraId="590F5048" w14:textId="77777777" w:rsidR="00156C9E" w:rsidRPr="00113649" w:rsidRDefault="00156C9E" w:rsidP="00634CA1">
            <w:pPr>
              <w:rPr>
                <w:b/>
                <w:bCs/>
              </w:rPr>
            </w:pPr>
            <w:r w:rsidRPr="00113649">
              <w:rPr>
                <w:b/>
                <w:bCs/>
              </w:rPr>
              <w:t>qualitative studies</w:t>
            </w:r>
          </w:p>
        </w:tc>
        <w:tc>
          <w:tcPr>
            <w:tcW w:w="1264" w:type="dxa"/>
            <w:hideMark/>
          </w:tcPr>
          <w:p w14:paraId="3B87C1DC" w14:textId="77777777" w:rsidR="00156C9E" w:rsidRPr="00113649" w:rsidRDefault="00156C9E" w:rsidP="00634CA1">
            <w:pPr>
              <w:rPr>
                <w:b/>
                <w:bCs/>
              </w:rPr>
            </w:pPr>
            <w:r w:rsidRPr="00113649">
              <w:rPr>
                <w:b/>
                <w:bCs/>
              </w:rPr>
              <w:t>quantitative studies</w:t>
            </w:r>
          </w:p>
        </w:tc>
        <w:tc>
          <w:tcPr>
            <w:tcW w:w="1559" w:type="dxa"/>
            <w:noWrap/>
            <w:hideMark/>
          </w:tcPr>
          <w:p w14:paraId="6224D762" w14:textId="77777777" w:rsidR="00156C9E" w:rsidRPr="00113649" w:rsidRDefault="00156C9E" w:rsidP="00634CA1">
            <w:pPr>
              <w:rPr>
                <w:b/>
                <w:bCs/>
              </w:rPr>
            </w:pPr>
            <w:r w:rsidRPr="00113649">
              <w:rPr>
                <w:b/>
                <w:bCs/>
              </w:rPr>
              <w:t>As supporting evidence?</w:t>
            </w:r>
          </w:p>
        </w:tc>
        <w:tc>
          <w:tcPr>
            <w:tcW w:w="1695" w:type="dxa"/>
            <w:noWrap/>
            <w:hideMark/>
          </w:tcPr>
          <w:p w14:paraId="3A67A8DD" w14:textId="77777777" w:rsidR="00156C9E" w:rsidRPr="00113649" w:rsidRDefault="00156C9E" w:rsidP="00634CA1">
            <w:pPr>
              <w:rPr>
                <w:b/>
                <w:bCs/>
              </w:rPr>
            </w:pPr>
            <w:r w:rsidRPr="00113649">
              <w:rPr>
                <w:b/>
                <w:bCs/>
              </w:rPr>
              <w:t>In assessment of costs and benefits?</w:t>
            </w:r>
          </w:p>
        </w:tc>
      </w:tr>
      <w:tr w:rsidR="00156C9E" w:rsidRPr="00DB4D2E" w14:paraId="13AA7DA4" w14:textId="77777777" w:rsidTr="00634CA1">
        <w:trPr>
          <w:trHeight w:val="300"/>
        </w:trPr>
        <w:tc>
          <w:tcPr>
            <w:tcW w:w="1568" w:type="dxa"/>
            <w:noWrap/>
            <w:hideMark/>
          </w:tcPr>
          <w:p w14:paraId="05257E26" w14:textId="77777777" w:rsidR="00156C9E" w:rsidRPr="00274AF6" w:rsidRDefault="00156C9E" w:rsidP="00634CA1">
            <w:pPr>
              <w:rPr>
                <w:bCs/>
              </w:rPr>
            </w:pPr>
            <w:r w:rsidRPr="00274AF6">
              <w:rPr>
                <w:bCs/>
              </w:rPr>
              <w:t>Australia, (PBAC/MSAC)</w:t>
            </w:r>
          </w:p>
        </w:tc>
        <w:tc>
          <w:tcPr>
            <w:tcW w:w="1319" w:type="dxa"/>
            <w:noWrap/>
            <w:hideMark/>
          </w:tcPr>
          <w:p w14:paraId="0A6535C6" w14:textId="77777777" w:rsidR="00156C9E" w:rsidRPr="00274AF6" w:rsidRDefault="00156C9E" w:rsidP="00634CA1">
            <w:pPr>
              <w:rPr>
                <w:bCs/>
              </w:rPr>
            </w:pPr>
            <w:r w:rsidRPr="00274AF6">
              <w:rPr>
                <w:bCs/>
              </w:rPr>
              <w:t>yes</w:t>
            </w:r>
          </w:p>
        </w:tc>
        <w:tc>
          <w:tcPr>
            <w:tcW w:w="1089" w:type="dxa"/>
            <w:noWrap/>
            <w:hideMark/>
          </w:tcPr>
          <w:p w14:paraId="67CCA8B8" w14:textId="77777777" w:rsidR="00156C9E" w:rsidRPr="00274AF6" w:rsidRDefault="00156C9E" w:rsidP="00634CA1">
            <w:pPr>
              <w:rPr>
                <w:bCs/>
              </w:rPr>
            </w:pPr>
          </w:p>
        </w:tc>
        <w:tc>
          <w:tcPr>
            <w:tcW w:w="1264" w:type="dxa"/>
            <w:noWrap/>
            <w:hideMark/>
          </w:tcPr>
          <w:p w14:paraId="31719919" w14:textId="77777777" w:rsidR="00156C9E" w:rsidRPr="00274AF6" w:rsidRDefault="00156C9E" w:rsidP="00634CA1">
            <w:pPr>
              <w:rPr>
                <w:bCs/>
              </w:rPr>
            </w:pPr>
          </w:p>
        </w:tc>
        <w:tc>
          <w:tcPr>
            <w:tcW w:w="1559" w:type="dxa"/>
            <w:noWrap/>
            <w:hideMark/>
          </w:tcPr>
          <w:p w14:paraId="6E0B3064" w14:textId="77777777" w:rsidR="00156C9E" w:rsidRPr="00274AF6" w:rsidRDefault="00156C9E" w:rsidP="00634CA1">
            <w:pPr>
              <w:rPr>
                <w:bCs/>
              </w:rPr>
            </w:pPr>
            <w:r w:rsidRPr="00274AF6">
              <w:rPr>
                <w:bCs/>
              </w:rPr>
              <w:t>yes</w:t>
            </w:r>
          </w:p>
        </w:tc>
        <w:tc>
          <w:tcPr>
            <w:tcW w:w="1695" w:type="dxa"/>
            <w:noWrap/>
            <w:hideMark/>
          </w:tcPr>
          <w:p w14:paraId="3E4C6424" w14:textId="77777777" w:rsidR="00156C9E" w:rsidRPr="00274AF6" w:rsidRDefault="00156C9E" w:rsidP="00634CA1">
            <w:pPr>
              <w:rPr>
                <w:bCs/>
              </w:rPr>
            </w:pPr>
          </w:p>
        </w:tc>
      </w:tr>
      <w:tr w:rsidR="00156C9E" w:rsidRPr="00DB4D2E" w14:paraId="5BA75369" w14:textId="77777777" w:rsidTr="00634CA1">
        <w:trPr>
          <w:trHeight w:val="300"/>
        </w:trPr>
        <w:tc>
          <w:tcPr>
            <w:tcW w:w="1568" w:type="dxa"/>
            <w:noWrap/>
            <w:hideMark/>
          </w:tcPr>
          <w:p w14:paraId="0EA2B7C6" w14:textId="77777777" w:rsidR="00156C9E" w:rsidRPr="00274AF6" w:rsidRDefault="00156C9E" w:rsidP="00634CA1">
            <w:pPr>
              <w:rPr>
                <w:bCs/>
              </w:rPr>
            </w:pPr>
            <w:r>
              <w:t>England and Wales (NICE)</w:t>
            </w:r>
          </w:p>
        </w:tc>
        <w:tc>
          <w:tcPr>
            <w:tcW w:w="1319" w:type="dxa"/>
            <w:noWrap/>
            <w:hideMark/>
          </w:tcPr>
          <w:p w14:paraId="1370ED71" w14:textId="77777777" w:rsidR="00156C9E" w:rsidRPr="00274AF6" w:rsidRDefault="00156C9E" w:rsidP="00634CA1">
            <w:pPr>
              <w:rPr>
                <w:bCs/>
              </w:rPr>
            </w:pPr>
            <w:r w:rsidRPr="00274AF6">
              <w:rPr>
                <w:bCs/>
              </w:rPr>
              <w:t>yes</w:t>
            </w:r>
          </w:p>
        </w:tc>
        <w:tc>
          <w:tcPr>
            <w:tcW w:w="1089" w:type="dxa"/>
            <w:noWrap/>
            <w:hideMark/>
          </w:tcPr>
          <w:p w14:paraId="6E51B89A" w14:textId="77777777" w:rsidR="00156C9E" w:rsidRPr="00274AF6" w:rsidRDefault="00156C9E" w:rsidP="00634CA1">
            <w:pPr>
              <w:rPr>
                <w:bCs/>
              </w:rPr>
            </w:pPr>
            <w:r w:rsidRPr="00274AF6">
              <w:rPr>
                <w:bCs/>
              </w:rPr>
              <w:t>yes</w:t>
            </w:r>
          </w:p>
        </w:tc>
        <w:tc>
          <w:tcPr>
            <w:tcW w:w="1264" w:type="dxa"/>
            <w:noWrap/>
            <w:hideMark/>
          </w:tcPr>
          <w:p w14:paraId="5023E0C2" w14:textId="77777777" w:rsidR="00156C9E" w:rsidRPr="00274AF6" w:rsidRDefault="00156C9E" w:rsidP="00634CA1">
            <w:pPr>
              <w:rPr>
                <w:bCs/>
              </w:rPr>
            </w:pPr>
            <w:r w:rsidRPr="00274AF6">
              <w:rPr>
                <w:bCs/>
              </w:rPr>
              <w:t>yes</w:t>
            </w:r>
          </w:p>
        </w:tc>
        <w:tc>
          <w:tcPr>
            <w:tcW w:w="1559" w:type="dxa"/>
            <w:noWrap/>
            <w:hideMark/>
          </w:tcPr>
          <w:p w14:paraId="0B725336" w14:textId="77777777" w:rsidR="00156C9E" w:rsidRPr="00274AF6" w:rsidRDefault="00156C9E" w:rsidP="00634CA1">
            <w:pPr>
              <w:rPr>
                <w:bCs/>
              </w:rPr>
            </w:pPr>
            <w:r w:rsidRPr="00274AF6">
              <w:rPr>
                <w:bCs/>
              </w:rPr>
              <w:t>yes</w:t>
            </w:r>
          </w:p>
        </w:tc>
        <w:tc>
          <w:tcPr>
            <w:tcW w:w="1695" w:type="dxa"/>
            <w:noWrap/>
            <w:hideMark/>
          </w:tcPr>
          <w:p w14:paraId="3BEF0533" w14:textId="77777777" w:rsidR="00156C9E" w:rsidRPr="00274AF6" w:rsidRDefault="00156C9E" w:rsidP="00634CA1">
            <w:pPr>
              <w:rPr>
                <w:bCs/>
              </w:rPr>
            </w:pPr>
          </w:p>
        </w:tc>
      </w:tr>
      <w:tr w:rsidR="00156C9E" w:rsidRPr="00DB4D2E" w14:paraId="12762BF8" w14:textId="77777777" w:rsidTr="00634CA1">
        <w:trPr>
          <w:trHeight w:val="300"/>
        </w:trPr>
        <w:tc>
          <w:tcPr>
            <w:tcW w:w="1568" w:type="dxa"/>
            <w:noWrap/>
          </w:tcPr>
          <w:p w14:paraId="3D37D3D6" w14:textId="77777777" w:rsidR="00156C9E" w:rsidRPr="00274AF6" w:rsidRDefault="00156C9E" w:rsidP="00634CA1">
            <w:pPr>
              <w:rPr>
                <w:bCs/>
              </w:rPr>
            </w:pPr>
            <w:r w:rsidRPr="00274AF6">
              <w:rPr>
                <w:bCs/>
              </w:rPr>
              <w:t>Scotland, (SMC)</w:t>
            </w:r>
          </w:p>
        </w:tc>
        <w:tc>
          <w:tcPr>
            <w:tcW w:w="1319" w:type="dxa"/>
            <w:noWrap/>
          </w:tcPr>
          <w:p w14:paraId="21C699C7" w14:textId="77777777" w:rsidR="00156C9E" w:rsidRPr="00274AF6" w:rsidRDefault="00156C9E" w:rsidP="00634CA1">
            <w:pPr>
              <w:rPr>
                <w:bCs/>
              </w:rPr>
            </w:pPr>
            <w:r w:rsidRPr="00274AF6">
              <w:rPr>
                <w:bCs/>
              </w:rPr>
              <w:t>Yes</w:t>
            </w:r>
          </w:p>
        </w:tc>
        <w:tc>
          <w:tcPr>
            <w:tcW w:w="1089" w:type="dxa"/>
            <w:noWrap/>
          </w:tcPr>
          <w:p w14:paraId="5B062362" w14:textId="77777777" w:rsidR="00156C9E" w:rsidRPr="00274AF6" w:rsidRDefault="00156C9E" w:rsidP="00634CA1">
            <w:pPr>
              <w:rPr>
                <w:bCs/>
              </w:rPr>
            </w:pPr>
          </w:p>
        </w:tc>
        <w:tc>
          <w:tcPr>
            <w:tcW w:w="1264" w:type="dxa"/>
            <w:noWrap/>
          </w:tcPr>
          <w:p w14:paraId="15885A5E" w14:textId="77777777" w:rsidR="00156C9E" w:rsidRPr="00274AF6" w:rsidRDefault="00156C9E" w:rsidP="00634CA1">
            <w:pPr>
              <w:rPr>
                <w:bCs/>
              </w:rPr>
            </w:pPr>
          </w:p>
        </w:tc>
        <w:tc>
          <w:tcPr>
            <w:tcW w:w="1559" w:type="dxa"/>
            <w:noWrap/>
          </w:tcPr>
          <w:p w14:paraId="2AFF93FA" w14:textId="77777777" w:rsidR="00156C9E" w:rsidRPr="00274AF6" w:rsidRDefault="00156C9E" w:rsidP="00634CA1">
            <w:pPr>
              <w:rPr>
                <w:bCs/>
              </w:rPr>
            </w:pPr>
          </w:p>
        </w:tc>
        <w:tc>
          <w:tcPr>
            <w:tcW w:w="1695" w:type="dxa"/>
            <w:noWrap/>
          </w:tcPr>
          <w:p w14:paraId="29DCB0C5" w14:textId="77777777" w:rsidR="00156C9E" w:rsidRPr="00274AF6" w:rsidRDefault="00156C9E" w:rsidP="00634CA1">
            <w:pPr>
              <w:rPr>
                <w:bCs/>
              </w:rPr>
            </w:pPr>
          </w:p>
        </w:tc>
      </w:tr>
      <w:tr w:rsidR="00156C9E" w:rsidRPr="00DB4D2E" w14:paraId="0C322842" w14:textId="77777777" w:rsidTr="00634CA1">
        <w:trPr>
          <w:trHeight w:val="300"/>
        </w:trPr>
        <w:tc>
          <w:tcPr>
            <w:tcW w:w="1568" w:type="dxa"/>
            <w:noWrap/>
          </w:tcPr>
          <w:p w14:paraId="5A81779F" w14:textId="77777777" w:rsidR="00156C9E" w:rsidRPr="00274AF6" w:rsidRDefault="00156C9E" w:rsidP="00634CA1">
            <w:pPr>
              <w:rPr>
                <w:bCs/>
              </w:rPr>
            </w:pPr>
            <w:r w:rsidRPr="00274AF6">
              <w:rPr>
                <w:bCs/>
              </w:rPr>
              <w:t>Canada, (CADTH)</w:t>
            </w:r>
          </w:p>
        </w:tc>
        <w:tc>
          <w:tcPr>
            <w:tcW w:w="1319" w:type="dxa"/>
            <w:noWrap/>
          </w:tcPr>
          <w:p w14:paraId="33D7073F" w14:textId="77777777" w:rsidR="00156C9E" w:rsidRPr="00274AF6" w:rsidRDefault="00156C9E" w:rsidP="00634CA1">
            <w:pPr>
              <w:rPr>
                <w:bCs/>
              </w:rPr>
            </w:pPr>
            <w:r w:rsidRPr="00274AF6">
              <w:rPr>
                <w:bCs/>
              </w:rPr>
              <w:t>Yes</w:t>
            </w:r>
          </w:p>
        </w:tc>
        <w:tc>
          <w:tcPr>
            <w:tcW w:w="1089" w:type="dxa"/>
            <w:noWrap/>
          </w:tcPr>
          <w:p w14:paraId="5B3DD8B9" w14:textId="77777777" w:rsidR="00156C9E" w:rsidRPr="00274AF6" w:rsidRDefault="00156C9E" w:rsidP="00634CA1">
            <w:pPr>
              <w:rPr>
                <w:bCs/>
              </w:rPr>
            </w:pPr>
          </w:p>
        </w:tc>
        <w:tc>
          <w:tcPr>
            <w:tcW w:w="1264" w:type="dxa"/>
            <w:noWrap/>
          </w:tcPr>
          <w:p w14:paraId="6EB00D11" w14:textId="77777777" w:rsidR="00156C9E" w:rsidRPr="00274AF6" w:rsidRDefault="00156C9E" w:rsidP="00634CA1">
            <w:pPr>
              <w:rPr>
                <w:bCs/>
              </w:rPr>
            </w:pPr>
          </w:p>
        </w:tc>
        <w:tc>
          <w:tcPr>
            <w:tcW w:w="1559" w:type="dxa"/>
            <w:noWrap/>
          </w:tcPr>
          <w:p w14:paraId="72F23989" w14:textId="77777777" w:rsidR="00156C9E" w:rsidRPr="00274AF6" w:rsidRDefault="00156C9E" w:rsidP="00634CA1">
            <w:pPr>
              <w:rPr>
                <w:bCs/>
              </w:rPr>
            </w:pPr>
            <w:r w:rsidRPr="00274AF6">
              <w:rPr>
                <w:bCs/>
              </w:rPr>
              <w:t>yes</w:t>
            </w:r>
          </w:p>
        </w:tc>
        <w:tc>
          <w:tcPr>
            <w:tcW w:w="1695" w:type="dxa"/>
            <w:noWrap/>
          </w:tcPr>
          <w:p w14:paraId="5196406B" w14:textId="77777777" w:rsidR="00156C9E" w:rsidRPr="00274AF6" w:rsidRDefault="00156C9E" w:rsidP="00634CA1">
            <w:pPr>
              <w:rPr>
                <w:bCs/>
              </w:rPr>
            </w:pPr>
          </w:p>
        </w:tc>
      </w:tr>
      <w:tr w:rsidR="00156C9E" w:rsidRPr="00DB4D2E" w14:paraId="0CEEE3E3" w14:textId="77777777" w:rsidTr="00634CA1">
        <w:trPr>
          <w:trHeight w:val="300"/>
        </w:trPr>
        <w:tc>
          <w:tcPr>
            <w:tcW w:w="1568" w:type="dxa"/>
            <w:noWrap/>
            <w:hideMark/>
          </w:tcPr>
          <w:p w14:paraId="7B3F2837" w14:textId="77777777" w:rsidR="00156C9E" w:rsidRPr="00274AF6" w:rsidRDefault="00156C9E" w:rsidP="00634CA1">
            <w:pPr>
              <w:rPr>
                <w:bCs/>
              </w:rPr>
            </w:pPr>
            <w:r w:rsidRPr="00274AF6">
              <w:rPr>
                <w:bCs/>
              </w:rPr>
              <w:t>New Zealand, (PHARMAC)</w:t>
            </w:r>
          </w:p>
        </w:tc>
        <w:tc>
          <w:tcPr>
            <w:tcW w:w="1319" w:type="dxa"/>
            <w:noWrap/>
            <w:hideMark/>
          </w:tcPr>
          <w:p w14:paraId="40F6C7AE" w14:textId="77777777" w:rsidR="00156C9E" w:rsidRPr="00274AF6" w:rsidRDefault="00156C9E" w:rsidP="00634CA1">
            <w:pPr>
              <w:rPr>
                <w:bCs/>
              </w:rPr>
            </w:pPr>
            <w:r w:rsidRPr="00274AF6">
              <w:rPr>
                <w:bCs/>
              </w:rPr>
              <w:t>yes</w:t>
            </w:r>
          </w:p>
        </w:tc>
        <w:tc>
          <w:tcPr>
            <w:tcW w:w="1089" w:type="dxa"/>
            <w:noWrap/>
            <w:hideMark/>
          </w:tcPr>
          <w:p w14:paraId="5657483C" w14:textId="77777777" w:rsidR="00156C9E" w:rsidRPr="00274AF6" w:rsidRDefault="00156C9E" w:rsidP="00634CA1">
            <w:pPr>
              <w:rPr>
                <w:bCs/>
              </w:rPr>
            </w:pPr>
          </w:p>
        </w:tc>
        <w:tc>
          <w:tcPr>
            <w:tcW w:w="1264" w:type="dxa"/>
            <w:noWrap/>
            <w:hideMark/>
          </w:tcPr>
          <w:p w14:paraId="6D7B0075" w14:textId="77777777" w:rsidR="00156C9E" w:rsidRPr="00274AF6" w:rsidRDefault="00156C9E" w:rsidP="00634CA1">
            <w:pPr>
              <w:rPr>
                <w:bCs/>
              </w:rPr>
            </w:pPr>
          </w:p>
        </w:tc>
        <w:tc>
          <w:tcPr>
            <w:tcW w:w="1559" w:type="dxa"/>
            <w:noWrap/>
            <w:hideMark/>
          </w:tcPr>
          <w:p w14:paraId="22CD8077" w14:textId="77777777" w:rsidR="00156C9E" w:rsidRPr="00274AF6" w:rsidRDefault="00156C9E" w:rsidP="00634CA1">
            <w:pPr>
              <w:rPr>
                <w:bCs/>
              </w:rPr>
            </w:pPr>
            <w:r w:rsidRPr="00274AF6">
              <w:rPr>
                <w:bCs/>
              </w:rPr>
              <w:t>yes</w:t>
            </w:r>
          </w:p>
        </w:tc>
        <w:tc>
          <w:tcPr>
            <w:tcW w:w="1695" w:type="dxa"/>
            <w:noWrap/>
            <w:hideMark/>
          </w:tcPr>
          <w:p w14:paraId="40C627BA" w14:textId="77777777" w:rsidR="00156C9E" w:rsidRPr="00274AF6" w:rsidRDefault="00156C9E" w:rsidP="00634CA1">
            <w:pPr>
              <w:rPr>
                <w:bCs/>
              </w:rPr>
            </w:pPr>
          </w:p>
        </w:tc>
      </w:tr>
      <w:tr w:rsidR="00156C9E" w:rsidRPr="00DB4D2E" w14:paraId="1A17968F" w14:textId="77777777" w:rsidTr="00634CA1">
        <w:trPr>
          <w:trHeight w:val="300"/>
        </w:trPr>
        <w:tc>
          <w:tcPr>
            <w:tcW w:w="1568" w:type="dxa"/>
            <w:noWrap/>
            <w:hideMark/>
          </w:tcPr>
          <w:p w14:paraId="43A942B9" w14:textId="77777777" w:rsidR="00156C9E" w:rsidRPr="00274AF6" w:rsidRDefault="00156C9E" w:rsidP="00634CA1">
            <w:pPr>
              <w:rPr>
                <w:bCs/>
              </w:rPr>
            </w:pPr>
            <w:r w:rsidRPr="00274AF6">
              <w:rPr>
                <w:bCs/>
              </w:rPr>
              <w:t>Germany, (</w:t>
            </w:r>
            <w:proofErr w:type="spellStart"/>
            <w:r w:rsidRPr="00274AF6">
              <w:rPr>
                <w:bCs/>
              </w:rPr>
              <w:t>IQWiG</w:t>
            </w:r>
            <w:proofErr w:type="spellEnd"/>
            <w:r w:rsidRPr="00274AF6">
              <w:rPr>
                <w:bCs/>
              </w:rPr>
              <w:t>)</w:t>
            </w:r>
          </w:p>
        </w:tc>
        <w:tc>
          <w:tcPr>
            <w:tcW w:w="1319" w:type="dxa"/>
            <w:noWrap/>
            <w:hideMark/>
          </w:tcPr>
          <w:p w14:paraId="4F718314" w14:textId="77777777" w:rsidR="00156C9E" w:rsidRPr="00274AF6" w:rsidRDefault="00156C9E" w:rsidP="00634CA1">
            <w:pPr>
              <w:rPr>
                <w:bCs/>
              </w:rPr>
            </w:pPr>
            <w:r w:rsidRPr="00274AF6">
              <w:rPr>
                <w:bCs/>
              </w:rPr>
              <w:t>yes</w:t>
            </w:r>
          </w:p>
        </w:tc>
        <w:tc>
          <w:tcPr>
            <w:tcW w:w="1089" w:type="dxa"/>
            <w:noWrap/>
            <w:hideMark/>
          </w:tcPr>
          <w:p w14:paraId="50BE883B" w14:textId="77777777" w:rsidR="00156C9E" w:rsidRPr="00274AF6" w:rsidRDefault="00156C9E" w:rsidP="00634CA1">
            <w:pPr>
              <w:rPr>
                <w:bCs/>
              </w:rPr>
            </w:pPr>
          </w:p>
        </w:tc>
        <w:tc>
          <w:tcPr>
            <w:tcW w:w="1264" w:type="dxa"/>
            <w:noWrap/>
            <w:hideMark/>
          </w:tcPr>
          <w:p w14:paraId="387D23D7" w14:textId="77777777" w:rsidR="00156C9E" w:rsidRPr="00274AF6" w:rsidRDefault="00156C9E" w:rsidP="00634CA1">
            <w:pPr>
              <w:rPr>
                <w:bCs/>
              </w:rPr>
            </w:pPr>
            <w:r w:rsidRPr="00274AF6">
              <w:rPr>
                <w:bCs/>
              </w:rPr>
              <w:t>yes</w:t>
            </w:r>
          </w:p>
        </w:tc>
        <w:tc>
          <w:tcPr>
            <w:tcW w:w="1559" w:type="dxa"/>
            <w:noWrap/>
            <w:hideMark/>
          </w:tcPr>
          <w:p w14:paraId="33D4B1DE" w14:textId="77777777" w:rsidR="00156C9E" w:rsidRPr="00274AF6" w:rsidRDefault="00156C9E" w:rsidP="00634CA1">
            <w:pPr>
              <w:rPr>
                <w:bCs/>
              </w:rPr>
            </w:pPr>
            <w:r w:rsidRPr="00274AF6">
              <w:rPr>
                <w:bCs/>
              </w:rPr>
              <w:t>yes</w:t>
            </w:r>
          </w:p>
        </w:tc>
        <w:tc>
          <w:tcPr>
            <w:tcW w:w="1695" w:type="dxa"/>
            <w:noWrap/>
            <w:hideMark/>
          </w:tcPr>
          <w:p w14:paraId="01B8656C" w14:textId="77777777" w:rsidR="00156C9E" w:rsidRPr="00274AF6" w:rsidRDefault="00156C9E" w:rsidP="00634CA1">
            <w:pPr>
              <w:rPr>
                <w:bCs/>
              </w:rPr>
            </w:pPr>
            <w:r w:rsidRPr="00274AF6">
              <w:rPr>
                <w:bCs/>
              </w:rPr>
              <w:t>yes</w:t>
            </w:r>
          </w:p>
        </w:tc>
      </w:tr>
      <w:tr w:rsidR="00156C9E" w:rsidRPr="00DB4D2E" w14:paraId="3C6A5CB1" w14:textId="77777777" w:rsidTr="00634CA1">
        <w:trPr>
          <w:trHeight w:val="300"/>
        </w:trPr>
        <w:tc>
          <w:tcPr>
            <w:tcW w:w="1568" w:type="dxa"/>
            <w:noWrap/>
            <w:hideMark/>
          </w:tcPr>
          <w:p w14:paraId="15F7B9E1" w14:textId="77777777" w:rsidR="00156C9E" w:rsidRPr="00274AF6" w:rsidRDefault="00156C9E" w:rsidP="00634CA1">
            <w:pPr>
              <w:rPr>
                <w:bCs/>
              </w:rPr>
            </w:pPr>
            <w:r w:rsidRPr="00274AF6">
              <w:rPr>
                <w:bCs/>
              </w:rPr>
              <w:t>Sweden, (TLV)</w:t>
            </w:r>
          </w:p>
        </w:tc>
        <w:tc>
          <w:tcPr>
            <w:tcW w:w="1319" w:type="dxa"/>
            <w:noWrap/>
            <w:hideMark/>
          </w:tcPr>
          <w:p w14:paraId="5BA2B39E" w14:textId="77777777" w:rsidR="00156C9E" w:rsidRPr="00274AF6" w:rsidRDefault="00156C9E" w:rsidP="00634CA1">
            <w:pPr>
              <w:rPr>
                <w:bCs/>
              </w:rPr>
            </w:pPr>
          </w:p>
        </w:tc>
        <w:tc>
          <w:tcPr>
            <w:tcW w:w="1089" w:type="dxa"/>
            <w:noWrap/>
            <w:hideMark/>
          </w:tcPr>
          <w:p w14:paraId="0BD1AE29" w14:textId="77777777" w:rsidR="00156C9E" w:rsidRPr="00274AF6" w:rsidRDefault="00156C9E" w:rsidP="00634CA1">
            <w:pPr>
              <w:rPr>
                <w:bCs/>
              </w:rPr>
            </w:pPr>
          </w:p>
        </w:tc>
        <w:tc>
          <w:tcPr>
            <w:tcW w:w="1264" w:type="dxa"/>
            <w:noWrap/>
            <w:hideMark/>
          </w:tcPr>
          <w:p w14:paraId="061314BE" w14:textId="77777777" w:rsidR="00156C9E" w:rsidRPr="00274AF6" w:rsidRDefault="00156C9E" w:rsidP="00634CA1">
            <w:pPr>
              <w:rPr>
                <w:bCs/>
              </w:rPr>
            </w:pPr>
            <w:r w:rsidRPr="00274AF6">
              <w:rPr>
                <w:bCs/>
              </w:rPr>
              <w:t>yes</w:t>
            </w:r>
          </w:p>
        </w:tc>
        <w:tc>
          <w:tcPr>
            <w:tcW w:w="1559" w:type="dxa"/>
            <w:noWrap/>
            <w:hideMark/>
          </w:tcPr>
          <w:p w14:paraId="250F7931" w14:textId="77777777" w:rsidR="00156C9E" w:rsidRPr="00274AF6" w:rsidRDefault="00156C9E" w:rsidP="00634CA1">
            <w:pPr>
              <w:rPr>
                <w:bCs/>
              </w:rPr>
            </w:pPr>
          </w:p>
        </w:tc>
        <w:tc>
          <w:tcPr>
            <w:tcW w:w="1695" w:type="dxa"/>
            <w:noWrap/>
            <w:hideMark/>
          </w:tcPr>
          <w:p w14:paraId="5DA9212B" w14:textId="77777777" w:rsidR="00156C9E" w:rsidRPr="00274AF6" w:rsidRDefault="00156C9E" w:rsidP="00634CA1">
            <w:pPr>
              <w:rPr>
                <w:bCs/>
              </w:rPr>
            </w:pPr>
            <w:r w:rsidRPr="00274AF6">
              <w:rPr>
                <w:bCs/>
              </w:rPr>
              <w:t>yes</w:t>
            </w:r>
          </w:p>
        </w:tc>
      </w:tr>
      <w:tr w:rsidR="00156C9E" w:rsidRPr="00DB4D2E" w14:paraId="668CEA65" w14:textId="77777777" w:rsidTr="00634CA1">
        <w:trPr>
          <w:trHeight w:val="300"/>
        </w:trPr>
        <w:tc>
          <w:tcPr>
            <w:tcW w:w="1568" w:type="dxa"/>
            <w:noWrap/>
            <w:hideMark/>
          </w:tcPr>
          <w:p w14:paraId="5772C59F" w14:textId="77777777" w:rsidR="00156C9E" w:rsidRPr="00274AF6" w:rsidRDefault="00156C9E" w:rsidP="00634CA1">
            <w:pPr>
              <w:rPr>
                <w:bCs/>
              </w:rPr>
            </w:pPr>
            <w:r w:rsidRPr="00274AF6">
              <w:rPr>
                <w:bCs/>
              </w:rPr>
              <w:t>The Netherlands, (ZIN)</w:t>
            </w:r>
          </w:p>
        </w:tc>
        <w:tc>
          <w:tcPr>
            <w:tcW w:w="1319" w:type="dxa"/>
            <w:noWrap/>
            <w:hideMark/>
          </w:tcPr>
          <w:p w14:paraId="69143E00" w14:textId="77777777" w:rsidR="00156C9E" w:rsidRPr="00274AF6" w:rsidRDefault="00156C9E" w:rsidP="00634CA1">
            <w:pPr>
              <w:rPr>
                <w:bCs/>
              </w:rPr>
            </w:pPr>
          </w:p>
        </w:tc>
        <w:tc>
          <w:tcPr>
            <w:tcW w:w="1089" w:type="dxa"/>
            <w:noWrap/>
            <w:hideMark/>
          </w:tcPr>
          <w:p w14:paraId="489B6CA7" w14:textId="77777777" w:rsidR="00156C9E" w:rsidRPr="00274AF6" w:rsidRDefault="00156C9E" w:rsidP="00634CA1">
            <w:pPr>
              <w:rPr>
                <w:bCs/>
              </w:rPr>
            </w:pPr>
          </w:p>
        </w:tc>
        <w:tc>
          <w:tcPr>
            <w:tcW w:w="1264" w:type="dxa"/>
            <w:noWrap/>
            <w:hideMark/>
          </w:tcPr>
          <w:p w14:paraId="0DA416AA" w14:textId="77777777" w:rsidR="00156C9E" w:rsidRPr="00274AF6" w:rsidRDefault="00156C9E" w:rsidP="00634CA1">
            <w:pPr>
              <w:rPr>
                <w:bCs/>
              </w:rPr>
            </w:pPr>
            <w:r w:rsidRPr="00274AF6">
              <w:rPr>
                <w:bCs/>
              </w:rPr>
              <w:t>yes</w:t>
            </w:r>
          </w:p>
        </w:tc>
        <w:tc>
          <w:tcPr>
            <w:tcW w:w="1559" w:type="dxa"/>
            <w:noWrap/>
            <w:hideMark/>
          </w:tcPr>
          <w:p w14:paraId="6B0642FC" w14:textId="77777777" w:rsidR="00156C9E" w:rsidRPr="00274AF6" w:rsidRDefault="00156C9E" w:rsidP="00634CA1">
            <w:pPr>
              <w:rPr>
                <w:bCs/>
              </w:rPr>
            </w:pPr>
          </w:p>
        </w:tc>
        <w:tc>
          <w:tcPr>
            <w:tcW w:w="1695" w:type="dxa"/>
            <w:noWrap/>
            <w:hideMark/>
          </w:tcPr>
          <w:p w14:paraId="6A44A578" w14:textId="77777777" w:rsidR="00156C9E" w:rsidRPr="00274AF6" w:rsidRDefault="00156C9E" w:rsidP="00634CA1">
            <w:pPr>
              <w:rPr>
                <w:bCs/>
              </w:rPr>
            </w:pPr>
            <w:r w:rsidRPr="00274AF6">
              <w:rPr>
                <w:bCs/>
              </w:rPr>
              <w:t>yes</w:t>
            </w:r>
          </w:p>
        </w:tc>
      </w:tr>
      <w:tr w:rsidR="00156C9E" w:rsidRPr="00DB4D2E" w14:paraId="709CF0AC" w14:textId="77777777" w:rsidTr="00634CA1">
        <w:trPr>
          <w:trHeight w:val="300"/>
        </w:trPr>
        <w:tc>
          <w:tcPr>
            <w:tcW w:w="1568" w:type="dxa"/>
            <w:noWrap/>
          </w:tcPr>
          <w:p w14:paraId="470923EB" w14:textId="77777777" w:rsidR="00156C9E" w:rsidRPr="00274AF6" w:rsidRDefault="00156C9E" w:rsidP="00634CA1">
            <w:pPr>
              <w:rPr>
                <w:bCs/>
              </w:rPr>
            </w:pPr>
            <w:r w:rsidRPr="00274AF6">
              <w:rPr>
                <w:bCs/>
              </w:rPr>
              <w:t>Belgium (INAMI)</w:t>
            </w:r>
          </w:p>
        </w:tc>
        <w:tc>
          <w:tcPr>
            <w:tcW w:w="1319" w:type="dxa"/>
            <w:noWrap/>
          </w:tcPr>
          <w:p w14:paraId="44B3D88B" w14:textId="77777777" w:rsidR="00156C9E" w:rsidRPr="00274AF6" w:rsidRDefault="00156C9E" w:rsidP="00634CA1">
            <w:pPr>
              <w:rPr>
                <w:bCs/>
              </w:rPr>
            </w:pPr>
            <w:r w:rsidRPr="00274AF6">
              <w:rPr>
                <w:bCs/>
              </w:rPr>
              <w:t>yes</w:t>
            </w:r>
          </w:p>
        </w:tc>
        <w:tc>
          <w:tcPr>
            <w:tcW w:w="1089" w:type="dxa"/>
            <w:noWrap/>
          </w:tcPr>
          <w:p w14:paraId="42873519" w14:textId="77777777" w:rsidR="00156C9E" w:rsidRPr="00274AF6" w:rsidRDefault="00156C9E" w:rsidP="00634CA1">
            <w:pPr>
              <w:rPr>
                <w:bCs/>
              </w:rPr>
            </w:pPr>
          </w:p>
        </w:tc>
        <w:tc>
          <w:tcPr>
            <w:tcW w:w="1264" w:type="dxa"/>
            <w:noWrap/>
          </w:tcPr>
          <w:p w14:paraId="580CC970" w14:textId="77777777" w:rsidR="00156C9E" w:rsidRPr="00274AF6" w:rsidRDefault="00156C9E" w:rsidP="00634CA1">
            <w:pPr>
              <w:rPr>
                <w:bCs/>
              </w:rPr>
            </w:pPr>
          </w:p>
        </w:tc>
        <w:tc>
          <w:tcPr>
            <w:tcW w:w="1559" w:type="dxa"/>
            <w:noWrap/>
          </w:tcPr>
          <w:p w14:paraId="7D98A0DB" w14:textId="77777777" w:rsidR="00156C9E" w:rsidRPr="00274AF6" w:rsidRDefault="00156C9E" w:rsidP="00634CA1">
            <w:pPr>
              <w:rPr>
                <w:bCs/>
              </w:rPr>
            </w:pPr>
          </w:p>
        </w:tc>
        <w:tc>
          <w:tcPr>
            <w:tcW w:w="1695" w:type="dxa"/>
            <w:noWrap/>
          </w:tcPr>
          <w:p w14:paraId="635FE339" w14:textId="77777777" w:rsidR="00156C9E" w:rsidRPr="00274AF6" w:rsidRDefault="00156C9E" w:rsidP="00634CA1">
            <w:pPr>
              <w:rPr>
                <w:bCs/>
              </w:rPr>
            </w:pPr>
          </w:p>
        </w:tc>
      </w:tr>
      <w:tr w:rsidR="00156C9E" w:rsidRPr="00DB4D2E" w14:paraId="5FD2E034" w14:textId="77777777" w:rsidTr="00634CA1">
        <w:trPr>
          <w:trHeight w:val="300"/>
        </w:trPr>
        <w:tc>
          <w:tcPr>
            <w:tcW w:w="1568" w:type="dxa"/>
            <w:noWrap/>
          </w:tcPr>
          <w:p w14:paraId="4FC9F710" w14:textId="77777777" w:rsidR="00156C9E" w:rsidRPr="00274AF6" w:rsidRDefault="00156C9E" w:rsidP="00634CA1">
            <w:pPr>
              <w:rPr>
                <w:bCs/>
              </w:rPr>
            </w:pPr>
            <w:r w:rsidRPr="00274AF6">
              <w:rPr>
                <w:bCs/>
              </w:rPr>
              <w:t>Japan (C2H)</w:t>
            </w:r>
          </w:p>
        </w:tc>
        <w:tc>
          <w:tcPr>
            <w:tcW w:w="1319" w:type="dxa"/>
            <w:noWrap/>
          </w:tcPr>
          <w:p w14:paraId="1217EEF7" w14:textId="77777777" w:rsidR="00156C9E" w:rsidRPr="00274AF6" w:rsidRDefault="00156C9E" w:rsidP="00634CA1">
            <w:pPr>
              <w:rPr>
                <w:bCs/>
              </w:rPr>
            </w:pPr>
          </w:p>
        </w:tc>
        <w:tc>
          <w:tcPr>
            <w:tcW w:w="1089" w:type="dxa"/>
            <w:noWrap/>
          </w:tcPr>
          <w:p w14:paraId="3B373E84" w14:textId="77777777" w:rsidR="00156C9E" w:rsidRPr="00274AF6" w:rsidRDefault="00156C9E" w:rsidP="00634CA1">
            <w:pPr>
              <w:rPr>
                <w:bCs/>
              </w:rPr>
            </w:pPr>
          </w:p>
        </w:tc>
        <w:tc>
          <w:tcPr>
            <w:tcW w:w="1264" w:type="dxa"/>
            <w:noWrap/>
          </w:tcPr>
          <w:p w14:paraId="51661E0D" w14:textId="77777777" w:rsidR="00156C9E" w:rsidRPr="00274AF6" w:rsidRDefault="00156C9E" w:rsidP="00634CA1">
            <w:pPr>
              <w:rPr>
                <w:bCs/>
              </w:rPr>
            </w:pPr>
            <w:r w:rsidRPr="00274AF6">
              <w:rPr>
                <w:bCs/>
              </w:rPr>
              <w:t>yes</w:t>
            </w:r>
          </w:p>
        </w:tc>
        <w:tc>
          <w:tcPr>
            <w:tcW w:w="1559" w:type="dxa"/>
            <w:noWrap/>
          </w:tcPr>
          <w:p w14:paraId="559BB93B" w14:textId="77777777" w:rsidR="00156C9E" w:rsidRPr="00274AF6" w:rsidRDefault="00156C9E" w:rsidP="00634CA1">
            <w:pPr>
              <w:rPr>
                <w:bCs/>
              </w:rPr>
            </w:pPr>
          </w:p>
        </w:tc>
        <w:tc>
          <w:tcPr>
            <w:tcW w:w="1695" w:type="dxa"/>
            <w:noWrap/>
          </w:tcPr>
          <w:p w14:paraId="521DE479" w14:textId="77777777" w:rsidR="00156C9E" w:rsidRPr="00274AF6" w:rsidRDefault="00156C9E" w:rsidP="00634CA1">
            <w:pPr>
              <w:rPr>
                <w:bCs/>
              </w:rPr>
            </w:pPr>
            <w:r w:rsidRPr="00274AF6">
              <w:rPr>
                <w:bCs/>
              </w:rPr>
              <w:t>yes</w:t>
            </w:r>
          </w:p>
        </w:tc>
      </w:tr>
      <w:tr w:rsidR="00156C9E" w:rsidRPr="00DB4D2E" w14:paraId="0CC41B4E" w14:textId="77777777" w:rsidTr="00634CA1">
        <w:trPr>
          <w:trHeight w:val="300"/>
        </w:trPr>
        <w:tc>
          <w:tcPr>
            <w:tcW w:w="1568" w:type="dxa"/>
            <w:noWrap/>
          </w:tcPr>
          <w:p w14:paraId="37F01A76" w14:textId="77777777" w:rsidR="00156C9E" w:rsidRPr="00274AF6" w:rsidRDefault="00156C9E" w:rsidP="00634CA1">
            <w:pPr>
              <w:rPr>
                <w:bCs/>
              </w:rPr>
            </w:pPr>
            <w:r>
              <w:rPr>
                <w:bCs/>
              </w:rPr>
              <w:t>Singapore (ACE)</w:t>
            </w:r>
          </w:p>
        </w:tc>
        <w:tc>
          <w:tcPr>
            <w:tcW w:w="1319" w:type="dxa"/>
            <w:noWrap/>
          </w:tcPr>
          <w:p w14:paraId="1133E61B" w14:textId="77777777" w:rsidR="00156C9E" w:rsidRPr="00274AF6" w:rsidRDefault="00156C9E" w:rsidP="00634CA1">
            <w:pPr>
              <w:rPr>
                <w:bCs/>
              </w:rPr>
            </w:pPr>
            <w:r>
              <w:rPr>
                <w:bCs/>
              </w:rPr>
              <w:t>yes</w:t>
            </w:r>
          </w:p>
        </w:tc>
        <w:tc>
          <w:tcPr>
            <w:tcW w:w="1089" w:type="dxa"/>
            <w:noWrap/>
          </w:tcPr>
          <w:p w14:paraId="0F0F46FE" w14:textId="77777777" w:rsidR="00156C9E" w:rsidRPr="00274AF6" w:rsidRDefault="00156C9E" w:rsidP="00634CA1">
            <w:pPr>
              <w:rPr>
                <w:bCs/>
              </w:rPr>
            </w:pPr>
          </w:p>
        </w:tc>
        <w:tc>
          <w:tcPr>
            <w:tcW w:w="1264" w:type="dxa"/>
            <w:noWrap/>
          </w:tcPr>
          <w:p w14:paraId="5823460E" w14:textId="77777777" w:rsidR="00156C9E" w:rsidRPr="00274AF6" w:rsidRDefault="00156C9E" w:rsidP="00634CA1">
            <w:pPr>
              <w:rPr>
                <w:bCs/>
              </w:rPr>
            </w:pPr>
          </w:p>
        </w:tc>
        <w:tc>
          <w:tcPr>
            <w:tcW w:w="1559" w:type="dxa"/>
            <w:noWrap/>
          </w:tcPr>
          <w:p w14:paraId="5C436160" w14:textId="77777777" w:rsidR="00156C9E" w:rsidRPr="00274AF6" w:rsidRDefault="00156C9E" w:rsidP="00634CA1">
            <w:pPr>
              <w:rPr>
                <w:bCs/>
              </w:rPr>
            </w:pPr>
            <w:r>
              <w:rPr>
                <w:bCs/>
              </w:rPr>
              <w:t>yes</w:t>
            </w:r>
          </w:p>
        </w:tc>
        <w:tc>
          <w:tcPr>
            <w:tcW w:w="1695" w:type="dxa"/>
            <w:noWrap/>
          </w:tcPr>
          <w:p w14:paraId="1FFB74FF" w14:textId="77777777" w:rsidR="00156C9E" w:rsidRPr="00274AF6" w:rsidRDefault="00156C9E" w:rsidP="00634CA1">
            <w:pPr>
              <w:rPr>
                <w:bCs/>
              </w:rPr>
            </w:pPr>
          </w:p>
        </w:tc>
      </w:tr>
    </w:tbl>
    <w:p w14:paraId="0C454229" w14:textId="77777777" w:rsidR="00FF745D" w:rsidRPr="00156C9E" w:rsidRDefault="00000000" w:rsidP="00156C9E">
      <w:pPr>
        <w:snapToGrid w:val="0"/>
        <w:spacing w:line="240" w:lineRule="atLeast"/>
        <w:rPr>
          <w:rFonts w:ascii="Times New Roman" w:eastAsia="ＭＳ Ｐ明朝" w:hAnsi="Times New Roman" w:cs="Times New Roman"/>
          <w:lang w:eastAsia="ja-JP"/>
        </w:rPr>
      </w:pPr>
      <w:r w:rsidRPr="00156C9E">
        <w:rPr>
          <w:rFonts w:ascii="Times New Roman" w:eastAsia="ＭＳ Ｐ明朝" w:hAnsi="Times New Roman" w:cs="Times New Roman"/>
          <w:lang w:eastAsia="ja-JP"/>
        </w:rPr>
        <w:t>直接または間接的なインプットによる患者の嗜好の利用を明言していない機関は以下の通りである：フランス、</w:t>
      </w:r>
      <w:r w:rsidRPr="00156C9E">
        <w:rPr>
          <w:rFonts w:ascii="Times New Roman" w:eastAsia="ＭＳ Ｐ明朝" w:hAnsi="Times New Roman" w:cs="Times New Roman"/>
          <w:lang w:eastAsia="ja-JP"/>
        </w:rPr>
        <w:t xml:space="preserve">HAS </w:t>
      </w:r>
      <w:r w:rsidRPr="00156C9E">
        <w:rPr>
          <w:rFonts w:ascii="Times New Roman" w:eastAsia="ＭＳ Ｐ明朝" w:hAnsi="Times New Roman" w:cs="Times New Roman"/>
          <w:lang w:eastAsia="ja-JP"/>
        </w:rPr>
        <w:t>ノルウェー、</w:t>
      </w:r>
      <w:proofErr w:type="spellStart"/>
      <w:r w:rsidRPr="00156C9E">
        <w:rPr>
          <w:rFonts w:ascii="Times New Roman" w:eastAsia="ＭＳ Ｐ明朝" w:hAnsi="Times New Roman" w:cs="Times New Roman"/>
          <w:lang w:eastAsia="ja-JP"/>
        </w:rPr>
        <w:t>NoMA</w:t>
      </w:r>
      <w:proofErr w:type="spellEnd"/>
      <w:r w:rsidRPr="00156C9E">
        <w:rPr>
          <w:rFonts w:ascii="Times New Roman" w:eastAsia="ＭＳ Ｐ明朝" w:hAnsi="Times New Roman" w:cs="Times New Roman"/>
          <w:lang w:eastAsia="ja-JP"/>
        </w:rPr>
        <w:t>/NIPH</w:t>
      </w:r>
      <w:r w:rsidRPr="00156C9E">
        <w:rPr>
          <w:rFonts w:ascii="Times New Roman" w:eastAsia="ＭＳ Ｐ明朝" w:hAnsi="Times New Roman" w:cs="Times New Roman"/>
          <w:lang w:eastAsia="ja-JP"/>
        </w:rPr>
        <w:t>；スペイン（各種）；ベルギー、</w:t>
      </w:r>
      <w:r w:rsidRPr="00156C9E">
        <w:rPr>
          <w:rFonts w:ascii="Times New Roman" w:eastAsia="ＭＳ Ｐ明朝" w:hAnsi="Times New Roman" w:cs="Times New Roman"/>
          <w:lang w:eastAsia="ja-JP"/>
        </w:rPr>
        <w:t>KCE</w:t>
      </w:r>
      <w:r w:rsidRPr="00156C9E">
        <w:rPr>
          <w:rFonts w:ascii="Times New Roman" w:eastAsia="ＭＳ Ｐ明朝" w:hAnsi="Times New Roman" w:cs="Times New Roman"/>
          <w:lang w:eastAsia="ja-JP"/>
        </w:rPr>
        <w:t>；ルクセンブルグ；日本、</w:t>
      </w:r>
      <w:r w:rsidRPr="00156C9E">
        <w:rPr>
          <w:rFonts w:ascii="Times New Roman" w:eastAsia="ＭＳ Ｐ明朝" w:hAnsi="Times New Roman" w:cs="Times New Roman"/>
          <w:lang w:eastAsia="ja-JP"/>
        </w:rPr>
        <w:t>C2H</w:t>
      </w:r>
      <w:r w:rsidRPr="00156C9E">
        <w:rPr>
          <w:rFonts w:ascii="Times New Roman" w:eastAsia="ＭＳ Ｐ明朝" w:hAnsi="Times New Roman" w:cs="Times New Roman"/>
          <w:lang w:eastAsia="ja-JP"/>
        </w:rPr>
        <w:t>；韓国、</w:t>
      </w:r>
      <w:r w:rsidRPr="00156C9E">
        <w:rPr>
          <w:rFonts w:ascii="Times New Roman" w:eastAsia="ＭＳ Ｐ明朝" w:hAnsi="Times New Roman" w:cs="Times New Roman"/>
          <w:lang w:eastAsia="ja-JP"/>
        </w:rPr>
        <w:t>NECA</w:t>
      </w:r>
      <w:r w:rsidRPr="00156C9E">
        <w:rPr>
          <w:rFonts w:ascii="Times New Roman" w:eastAsia="ＭＳ Ｐ明朝" w:hAnsi="Times New Roman" w:cs="Times New Roman"/>
          <w:lang w:eastAsia="ja-JP"/>
        </w:rPr>
        <w:t>；台湾（</w:t>
      </w:r>
      <w:r w:rsidRPr="00156C9E">
        <w:rPr>
          <w:rFonts w:ascii="Times New Roman" w:eastAsia="ＭＳ Ｐ明朝" w:hAnsi="Times New Roman" w:cs="Times New Roman"/>
          <w:lang w:eastAsia="ja-JP"/>
        </w:rPr>
        <w:t>NIHA</w:t>
      </w:r>
      <w:r w:rsidRPr="00156C9E">
        <w:rPr>
          <w:rFonts w:ascii="Times New Roman" w:eastAsia="ＭＳ Ｐ明朝" w:hAnsi="Times New Roman" w:cs="Times New Roman"/>
          <w:lang w:eastAsia="ja-JP"/>
        </w:rPr>
        <w:t>）。</w:t>
      </w:r>
      <w:r w:rsidRPr="00156C9E">
        <w:rPr>
          <w:rFonts w:ascii="Times New Roman" w:eastAsia="ＭＳ Ｐ明朝" w:hAnsi="Times New Roman" w:cs="Times New Roman"/>
          <w:lang w:eastAsia="ja-JP"/>
        </w:rPr>
        <w:t xml:space="preserve"> </w:t>
      </w:r>
    </w:p>
    <w:p w14:paraId="4FD5E3EA" w14:textId="77777777" w:rsidR="00156C9E" w:rsidRDefault="00156C9E">
      <w:pPr>
        <w:pStyle w:val="a3"/>
        <w:rPr>
          <w:rFonts w:ascii="Times New Roman" w:eastAsia="ＭＳ Ｐ明朝" w:hAnsi="Times New Roman"/>
          <w:sz w:val="20"/>
          <w:szCs w:val="21"/>
          <w:lang w:eastAsia="ja-JP"/>
        </w:rPr>
      </w:pPr>
    </w:p>
    <w:p w14:paraId="5807C794" w14:textId="00477165"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参加は、</w:t>
      </w:r>
      <w:r w:rsidR="00574797" w:rsidRPr="00F46EF2">
        <w:rPr>
          <w:rFonts w:ascii="Times New Roman" w:eastAsia="ＭＳ Ｐ明朝" w:hAnsi="Times New Roman"/>
          <w:sz w:val="20"/>
          <w:szCs w:val="21"/>
          <w:lang w:eastAsia="ja-JP"/>
        </w:rPr>
        <w:t>患者の嗜好を</w:t>
      </w:r>
      <w:r w:rsidR="00574797" w:rsidRPr="00F46EF2">
        <w:rPr>
          <w:rFonts w:ascii="Times New Roman" w:eastAsia="ＭＳ Ｐ明朝" w:hAnsi="Times New Roman"/>
          <w:sz w:val="20"/>
          <w:szCs w:val="21"/>
          <w:lang w:eastAsia="ja-JP"/>
        </w:rPr>
        <w:t>HTA</w:t>
      </w:r>
      <w:r w:rsidR="00574797" w:rsidRPr="00F46EF2">
        <w:rPr>
          <w:rFonts w:ascii="Times New Roman" w:eastAsia="ＭＳ Ｐ明朝" w:hAnsi="Times New Roman"/>
          <w:sz w:val="20"/>
          <w:szCs w:val="21"/>
          <w:lang w:eastAsia="ja-JP"/>
        </w:rPr>
        <w:t>の</w:t>
      </w:r>
      <w:r w:rsidR="00B75DA7" w:rsidRPr="00F46EF2">
        <w:rPr>
          <w:rFonts w:ascii="Times New Roman" w:eastAsia="ＭＳ Ｐ明朝" w:hAnsi="Times New Roman"/>
          <w:sz w:val="20"/>
          <w:szCs w:val="21"/>
          <w:lang w:eastAsia="ja-JP"/>
        </w:rPr>
        <w:t>検討に</w:t>
      </w:r>
      <w:r w:rsidR="008533E9" w:rsidRPr="00F46EF2">
        <w:rPr>
          <w:rFonts w:ascii="Times New Roman" w:eastAsia="ＭＳ Ｐ明朝" w:hAnsi="Times New Roman"/>
          <w:sz w:val="20"/>
          <w:szCs w:val="21"/>
          <w:lang w:eastAsia="ja-JP"/>
        </w:rPr>
        <w:t>取り入れる手段として、</w:t>
      </w:r>
      <w:r w:rsidR="001B12B6" w:rsidRPr="00F46EF2">
        <w:rPr>
          <w:rFonts w:ascii="Times New Roman" w:eastAsia="ＭＳ Ｐ明朝" w:hAnsi="Times New Roman"/>
          <w:sz w:val="20"/>
          <w:szCs w:val="21"/>
          <w:lang w:eastAsia="ja-JP"/>
        </w:rPr>
        <w:t>患者</w:t>
      </w:r>
      <w:r w:rsidR="0047442E" w:rsidRPr="00F46EF2">
        <w:rPr>
          <w:rFonts w:ascii="Times New Roman" w:eastAsia="ＭＳ Ｐ明朝" w:hAnsi="Times New Roman"/>
          <w:sz w:val="20"/>
          <w:szCs w:val="21"/>
          <w:lang w:eastAsia="ja-JP"/>
        </w:rPr>
        <w:t>ベースのエビデンス</w:t>
      </w:r>
      <w:r w:rsidR="00574797" w:rsidRPr="00F46EF2">
        <w:rPr>
          <w:rFonts w:ascii="Times New Roman" w:eastAsia="ＭＳ Ｐ明朝" w:hAnsi="Times New Roman"/>
          <w:sz w:val="20"/>
          <w:szCs w:val="21"/>
          <w:lang w:eastAsia="ja-JP"/>
        </w:rPr>
        <w:t>手法よりも広く用いられている。ドイツ、日本、スウェーデン、オランダのように、患者ベースのエビデンスを</w:t>
      </w:r>
      <w:r w:rsidR="009274A5" w:rsidRPr="00F46EF2">
        <w:rPr>
          <w:rFonts w:ascii="Times New Roman" w:eastAsia="ＭＳ Ｐ明朝" w:hAnsi="Times New Roman"/>
          <w:sz w:val="20"/>
          <w:szCs w:val="21"/>
          <w:lang w:eastAsia="ja-JP"/>
        </w:rPr>
        <w:t>用いた</w:t>
      </w:r>
      <w:r w:rsidR="00574797" w:rsidRPr="00F46EF2">
        <w:rPr>
          <w:rFonts w:ascii="Times New Roman" w:eastAsia="ＭＳ Ｐ明朝" w:hAnsi="Times New Roman"/>
          <w:sz w:val="20"/>
          <w:szCs w:val="21"/>
          <w:lang w:eastAsia="ja-JP"/>
        </w:rPr>
        <w:t>方法をガイドラインで検討している</w:t>
      </w:r>
      <w:r w:rsidR="0064555B" w:rsidRPr="00F46EF2">
        <w:rPr>
          <w:rFonts w:ascii="Times New Roman" w:eastAsia="ＭＳ Ｐ明朝" w:hAnsi="Times New Roman"/>
          <w:sz w:val="20"/>
          <w:szCs w:val="21"/>
          <w:lang w:eastAsia="ja-JP"/>
        </w:rPr>
        <w:t>国も</w:t>
      </w:r>
      <w:r w:rsidR="00574797" w:rsidRPr="00F46EF2">
        <w:rPr>
          <w:rFonts w:ascii="Times New Roman" w:eastAsia="ＭＳ Ｐ明朝" w:hAnsi="Times New Roman"/>
          <w:sz w:val="20"/>
          <w:szCs w:val="21"/>
          <w:lang w:eastAsia="ja-JP"/>
        </w:rPr>
        <w:t>ある。特にドイツでは、患者の嗜好を把握するために、</w:t>
      </w:r>
      <w:r w:rsidR="00574797" w:rsidRPr="00F46EF2">
        <w:rPr>
          <w:rFonts w:ascii="Times New Roman" w:eastAsia="ＭＳ Ｐ明朝" w:hAnsi="Times New Roman"/>
          <w:sz w:val="20"/>
          <w:szCs w:val="21"/>
          <w:lang w:eastAsia="ja-JP"/>
        </w:rPr>
        <w:t>CA</w:t>
      </w:r>
      <w:r w:rsidR="00574797" w:rsidRPr="00F46EF2">
        <w:rPr>
          <w:rFonts w:ascii="Times New Roman" w:eastAsia="ＭＳ Ｐ明朝" w:hAnsi="Times New Roman"/>
          <w:sz w:val="20"/>
          <w:szCs w:val="21"/>
          <w:lang w:eastAsia="ja-JP"/>
        </w:rPr>
        <w:t>や</w:t>
      </w:r>
      <w:r w:rsidR="00B75DA7" w:rsidRPr="00F46EF2">
        <w:rPr>
          <w:rFonts w:ascii="Times New Roman" w:eastAsia="ＭＳ Ｐ明朝" w:hAnsi="Times New Roman"/>
          <w:sz w:val="20"/>
          <w:szCs w:val="21"/>
          <w:lang w:eastAsia="ja-JP"/>
        </w:rPr>
        <w:t>AHP</w:t>
      </w:r>
      <w:r w:rsidR="00B75DA7" w:rsidRPr="00F46EF2">
        <w:rPr>
          <w:rFonts w:ascii="Times New Roman" w:eastAsia="ＭＳ Ｐ明朝" w:hAnsi="Times New Roman"/>
          <w:sz w:val="20"/>
          <w:szCs w:val="21"/>
          <w:lang w:eastAsia="ja-JP"/>
        </w:rPr>
        <w:t>の</w:t>
      </w:r>
      <w:r w:rsidR="00574797" w:rsidRPr="00F46EF2">
        <w:rPr>
          <w:rFonts w:ascii="Times New Roman" w:eastAsia="ＭＳ Ｐ明朝" w:hAnsi="Times New Roman"/>
          <w:sz w:val="20"/>
          <w:szCs w:val="21"/>
          <w:lang w:eastAsia="ja-JP"/>
        </w:rPr>
        <w:t>ような定量的手法</w:t>
      </w:r>
      <w:r w:rsidR="00574797" w:rsidRPr="00F46EF2">
        <w:rPr>
          <w:rFonts w:ascii="Times New Roman" w:eastAsia="ＭＳ Ｐ明朝" w:hAnsi="Times New Roman"/>
          <w:sz w:val="20"/>
          <w:szCs w:val="21"/>
          <w:lang w:eastAsia="ja-JP"/>
        </w:rPr>
        <w:lastRenderedPageBreak/>
        <w:t>の使用を検討している。しかし、方法論上の問題から、ドイツの</w:t>
      </w:r>
      <w:r w:rsidR="00574797" w:rsidRPr="00F46EF2">
        <w:rPr>
          <w:rFonts w:ascii="Times New Roman" w:eastAsia="ＭＳ Ｐ明朝" w:hAnsi="Times New Roman"/>
          <w:sz w:val="20"/>
          <w:szCs w:val="21"/>
          <w:lang w:eastAsia="ja-JP"/>
        </w:rPr>
        <w:t>HTA</w:t>
      </w:r>
      <w:r w:rsidR="00574797" w:rsidRPr="00F46EF2">
        <w:rPr>
          <w:rFonts w:ascii="Times New Roman" w:eastAsia="ＭＳ Ｐ明朝" w:hAnsi="Times New Roman"/>
          <w:sz w:val="20"/>
          <w:szCs w:val="21"/>
          <w:lang w:eastAsia="ja-JP"/>
        </w:rPr>
        <w:t>の</w:t>
      </w:r>
      <w:r w:rsidR="009169C1" w:rsidRPr="00F46EF2">
        <w:rPr>
          <w:rFonts w:ascii="Times New Roman" w:eastAsia="ＭＳ Ｐ明朝" w:hAnsi="Times New Roman"/>
          <w:sz w:val="20"/>
          <w:szCs w:val="21"/>
          <w:lang w:eastAsia="ja-JP"/>
        </w:rPr>
        <w:t>意思決定において</w:t>
      </w:r>
      <w:r w:rsidR="00574797" w:rsidRPr="00F46EF2">
        <w:rPr>
          <w:rFonts w:ascii="Times New Roman" w:eastAsia="ＭＳ Ｐ明朝" w:hAnsi="Times New Roman"/>
          <w:sz w:val="20"/>
          <w:szCs w:val="21"/>
          <w:lang w:eastAsia="ja-JP"/>
        </w:rPr>
        <w:t>日常的に使用する</w:t>
      </w:r>
      <w:r w:rsidR="00B75DA7" w:rsidRPr="00F46EF2">
        <w:rPr>
          <w:rFonts w:ascii="Times New Roman" w:eastAsia="ＭＳ Ｐ明朝" w:hAnsi="Times New Roman"/>
          <w:sz w:val="20"/>
          <w:szCs w:val="21"/>
          <w:lang w:eastAsia="ja-JP"/>
        </w:rPr>
        <w:t>ことはできない</w:t>
      </w:r>
      <w:r w:rsidR="00022B0A" w:rsidRPr="00F46EF2">
        <w:rPr>
          <w:rFonts w:ascii="Times New Roman" w:eastAsia="ＭＳ Ｐ明朝" w:hAnsi="Times New Roman"/>
          <w:sz w:val="20"/>
          <w:szCs w:val="21"/>
          <w:lang w:eastAsia="ja-JP"/>
        </w:rPr>
        <w:t>（第</w:t>
      </w:r>
      <w:r w:rsidR="00022B0A" w:rsidRPr="00F46EF2">
        <w:rPr>
          <w:rFonts w:ascii="Times New Roman" w:eastAsia="ＭＳ Ｐ明朝" w:hAnsi="Times New Roman"/>
          <w:sz w:val="20"/>
          <w:szCs w:val="21"/>
          <w:lang w:eastAsia="ja-JP"/>
        </w:rPr>
        <w:t>1</w:t>
      </w:r>
      <w:r w:rsidR="00022B0A" w:rsidRPr="00F46EF2">
        <w:rPr>
          <w:rFonts w:ascii="Times New Roman" w:eastAsia="ＭＳ Ｐ明朝" w:hAnsi="Times New Roman"/>
          <w:sz w:val="20"/>
          <w:szCs w:val="21"/>
          <w:lang w:eastAsia="ja-JP"/>
        </w:rPr>
        <w:t>部参照）。</w:t>
      </w:r>
      <w:r w:rsidR="00022B0A" w:rsidRPr="00F46EF2">
        <w:rPr>
          <w:rFonts w:ascii="Times New Roman" w:eastAsia="ＭＳ Ｐ明朝" w:hAnsi="Times New Roman"/>
          <w:sz w:val="20"/>
          <w:szCs w:val="21"/>
          <w:lang w:eastAsia="ja-JP"/>
        </w:rPr>
        <w:t xml:space="preserve"> </w:t>
      </w:r>
      <w:r w:rsidR="00B05FAA" w:rsidRPr="00F46EF2">
        <w:rPr>
          <w:rFonts w:ascii="Times New Roman" w:eastAsia="ＭＳ Ｐ明朝" w:hAnsi="Times New Roman"/>
          <w:sz w:val="20"/>
          <w:szCs w:val="21"/>
        </w:rPr>
        <w:fldChar w:fldCharType="begin"/>
      </w:r>
      <w:r w:rsidR="00B05FAA" w:rsidRPr="00F46EF2">
        <w:rPr>
          <w:rFonts w:ascii="Times New Roman" w:eastAsia="ＭＳ Ｐ明朝" w:hAnsi="Times New Roman"/>
          <w:sz w:val="20"/>
          <w:szCs w:val="21"/>
          <w:lang w:eastAsia="ja-JP"/>
        </w:rPr>
        <w:instrText xml:space="preserve"> REF _Ref146373757 \h </w:instrText>
      </w:r>
      <w:r w:rsidR="00B05FAA"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00B05FAA" w:rsidRPr="00F46EF2">
        <w:rPr>
          <w:rFonts w:ascii="Times New Roman" w:eastAsia="ＭＳ Ｐ明朝" w:hAnsi="Times New Roman"/>
          <w:sz w:val="20"/>
          <w:szCs w:val="21"/>
        </w:rPr>
        <w:fldChar w:fldCharType="separate"/>
      </w:r>
      <w:proofErr w:type="spellStart"/>
      <w:r w:rsidR="00356B5C" w:rsidRPr="00F46EF2">
        <w:rPr>
          <w:rFonts w:ascii="Times New Roman" w:eastAsia="ＭＳ Ｐ明朝" w:hAnsi="Times New Roman"/>
          <w:sz w:val="20"/>
          <w:szCs w:val="21"/>
          <w:lang w:eastAsia="ja-JP"/>
        </w:rPr>
        <w:t>C</w:t>
      </w:r>
      <w:r w:rsidR="00356B5C" w:rsidRPr="00F46EF2">
        <w:rPr>
          <w:rFonts w:ascii="Times New Roman" w:eastAsia="ＭＳ Ｐ明朝" w:hAnsi="Times New Roman"/>
          <w:sz w:val="20"/>
          <w:szCs w:val="21"/>
          <w:lang w:eastAsia="ja-JP"/>
        </w:rPr>
        <w:t>患者嗜好の検討</w:t>
      </w:r>
      <w:r w:rsidR="00B05FAA" w:rsidRPr="00F46EF2">
        <w:rPr>
          <w:rFonts w:ascii="Times New Roman" w:eastAsia="ＭＳ Ｐ明朝" w:hAnsi="Times New Roman"/>
          <w:sz w:val="20"/>
          <w:szCs w:val="21"/>
        </w:rPr>
        <w:fldChar w:fldCharType="end"/>
      </w:r>
      <w:r w:rsidR="00022B0A" w:rsidRPr="00F46EF2">
        <w:rPr>
          <w:rFonts w:ascii="Times New Roman" w:eastAsia="ＭＳ Ｐ明朝" w:hAnsi="Times New Roman"/>
          <w:sz w:val="20"/>
          <w:szCs w:val="21"/>
          <w:lang w:eastAsia="ja-JP"/>
        </w:rPr>
        <w:t>を参照</w:t>
      </w:r>
      <w:proofErr w:type="spellEnd"/>
      <w:r w:rsidR="00022B0A"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3D806ACF"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オーストラリアは、患者の嗜好を</w:t>
      </w:r>
      <w:r w:rsidR="00B75DA7" w:rsidRPr="00F46EF2">
        <w:rPr>
          <w:rFonts w:ascii="Times New Roman" w:eastAsia="ＭＳ Ｐ明朝" w:hAnsi="Times New Roman"/>
          <w:sz w:val="20"/>
          <w:szCs w:val="21"/>
          <w:lang w:eastAsia="ja-JP"/>
        </w:rPr>
        <w:t>把握</w:t>
      </w:r>
      <w:r w:rsidRPr="00F46EF2">
        <w:rPr>
          <w:rFonts w:ascii="Times New Roman" w:eastAsia="ＭＳ Ｐ明朝" w:hAnsi="Times New Roman"/>
          <w:sz w:val="20"/>
          <w:szCs w:val="21"/>
          <w:lang w:eastAsia="ja-JP"/>
        </w:rPr>
        <w:t>する手段として、</w:t>
      </w:r>
      <w:r w:rsidR="002E6E3E" w:rsidRPr="00F46EF2">
        <w:rPr>
          <w:rFonts w:ascii="Times New Roman" w:eastAsia="ＭＳ Ｐ明朝" w:hAnsi="Times New Roman"/>
          <w:sz w:val="20"/>
          <w:szCs w:val="21"/>
          <w:lang w:eastAsia="ja-JP"/>
        </w:rPr>
        <w:t>参加者の</w:t>
      </w:r>
      <w:r w:rsidRPr="00F46EF2">
        <w:rPr>
          <w:rFonts w:ascii="Times New Roman" w:eastAsia="ＭＳ Ｐ明朝" w:hAnsi="Times New Roman"/>
          <w:sz w:val="20"/>
          <w:szCs w:val="21"/>
          <w:lang w:eastAsia="ja-JP"/>
        </w:rPr>
        <w:t>意見を受け入れている点</w:t>
      </w:r>
      <w:r w:rsidR="00B75DA7" w:rsidRPr="00F46EF2">
        <w:rPr>
          <w:rFonts w:ascii="Times New Roman" w:eastAsia="ＭＳ Ｐ明朝" w:hAnsi="Times New Roman"/>
          <w:sz w:val="20"/>
          <w:szCs w:val="21"/>
          <w:lang w:eastAsia="ja-JP"/>
        </w:rPr>
        <w:t>で、</w:t>
      </w:r>
      <w:r w:rsidRPr="00F46EF2">
        <w:rPr>
          <w:rFonts w:ascii="Times New Roman" w:eastAsia="ＭＳ Ｐ明朝" w:hAnsi="Times New Roman"/>
          <w:sz w:val="20"/>
          <w:szCs w:val="21"/>
          <w:lang w:eastAsia="ja-JP"/>
        </w:rPr>
        <w:t>検討された多くの</w:t>
      </w:r>
      <w:r w:rsidR="0064555B" w:rsidRPr="00F46EF2">
        <w:rPr>
          <w:rFonts w:ascii="Times New Roman" w:eastAsia="ＭＳ Ｐ明朝" w:hAnsi="Times New Roman"/>
          <w:sz w:val="20"/>
          <w:szCs w:val="21"/>
          <w:lang w:eastAsia="ja-JP"/>
        </w:rPr>
        <w:t>国・地域と</w:t>
      </w:r>
      <w:r w:rsidRPr="00F46EF2">
        <w:rPr>
          <w:rFonts w:ascii="Times New Roman" w:eastAsia="ＭＳ Ｐ明朝" w:hAnsi="Times New Roman"/>
          <w:sz w:val="20"/>
          <w:szCs w:val="21"/>
          <w:lang w:eastAsia="ja-JP"/>
        </w:rPr>
        <w:t>類似している。実際、オーストラリアでは、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および</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のプロセスが整備されており、患者およびその代表者との協議が非常によく確立されている。</w:t>
      </w:r>
    </w:p>
    <w:p w14:paraId="104FD9EF" w14:textId="77777777" w:rsidR="00156C9E" w:rsidRPr="00F46EF2" w:rsidRDefault="00156C9E">
      <w:pPr>
        <w:pStyle w:val="a3"/>
        <w:rPr>
          <w:rFonts w:ascii="Times New Roman" w:eastAsia="ＭＳ Ｐ明朝" w:hAnsi="Times New Roman" w:hint="eastAsia"/>
          <w:sz w:val="20"/>
          <w:szCs w:val="21"/>
          <w:lang w:eastAsia="ja-JP"/>
        </w:rPr>
      </w:pPr>
    </w:p>
    <w:p w14:paraId="028E4C36" w14:textId="77777777" w:rsidR="00FF745D" w:rsidRPr="00F46EF2" w:rsidRDefault="00000000">
      <w:pPr>
        <w:pStyle w:val="NbrHeading4"/>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間接的および非健康上の利益</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健康上の利益と有害性</w:t>
      </w:r>
    </w:p>
    <w:p w14:paraId="280E7242" w14:textId="054EE702"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ガイドラインや参照</w:t>
      </w:r>
      <w:r w:rsidR="0064555B" w:rsidRPr="00F46EF2">
        <w:rPr>
          <w:rFonts w:ascii="Times New Roman" w:eastAsia="ＭＳ Ｐ明朝" w:hAnsi="Times New Roman"/>
          <w:sz w:val="20"/>
          <w:szCs w:val="21"/>
          <w:lang w:eastAsia="ja-JP"/>
        </w:rPr>
        <w:t>法域の</w:t>
      </w:r>
      <w:r w:rsidRPr="00F46EF2">
        <w:rPr>
          <w:rFonts w:ascii="Times New Roman" w:eastAsia="ＭＳ Ｐ明朝" w:hAnsi="Times New Roman"/>
          <w:sz w:val="20"/>
          <w:szCs w:val="21"/>
          <w:lang w:eastAsia="ja-JP"/>
        </w:rPr>
        <w:t>ウェブサイトで議論されている間接的・非健康的便益と有害性を測定するために使用される方法と</w:t>
      </w:r>
      <w:r w:rsidR="005F7ED2" w:rsidRPr="00F46EF2">
        <w:rPr>
          <w:rFonts w:ascii="Times New Roman" w:eastAsia="ＭＳ Ｐ明朝" w:hAnsi="Times New Roman"/>
          <w:sz w:val="20"/>
          <w:szCs w:val="21"/>
          <w:lang w:eastAsia="ja-JP"/>
        </w:rPr>
        <w:t>プロセスを</w:t>
      </w:r>
      <w:r w:rsidRPr="00F46EF2">
        <w:rPr>
          <w:rFonts w:ascii="Times New Roman" w:eastAsia="ＭＳ Ｐ明朝" w:hAnsi="Times New Roman"/>
          <w:sz w:val="20"/>
          <w:szCs w:val="21"/>
          <w:lang w:eastAsia="ja-JP"/>
        </w:rPr>
        <w:t>以下に示す。</w:t>
      </w:r>
      <w:r w:rsidRPr="00F46EF2">
        <w:rPr>
          <w:rFonts w:ascii="Times New Roman" w:eastAsia="ＭＳ Ｐ明朝" w:hAnsi="Times New Roman"/>
          <w:sz w:val="20"/>
          <w:szCs w:val="21"/>
          <w:lang w:eastAsia="ja-JP"/>
        </w:rPr>
        <w:t xml:space="preserve"> </w:t>
      </w:r>
      <w:r w:rsidR="0072230F" w:rsidRPr="00F46EF2">
        <w:rPr>
          <w:rFonts w:ascii="Times New Roman" w:eastAsia="ＭＳ Ｐ明朝" w:hAnsi="Times New Roman"/>
          <w:sz w:val="20"/>
          <w:szCs w:val="21"/>
        </w:rPr>
        <w:fldChar w:fldCharType="begin"/>
      </w:r>
      <w:r w:rsidR="0072230F" w:rsidRPr="00F46EF2">
        <w:rPr>
          <w:rFonts w:ascii="Times New Roman" w:eastAsia="ＭＳ Ｐ明朝" w:hAnsi="Times New Roman"/>
          <w:sz w:val="20"/>
          <w:szCs w:val="21"/>
          <w:lang w:eastAsia="ja-JP"/>
        </w:rPr>
        <w:instrText xml:space="preserve"> REF _Ref146542585 \h </w:instrText>
      </w:r>
      <w:r w:rsidR="0072230F"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0072230F"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表</w:t>
      </w:r>
      <w:r w:rsidR="00356B5C" w:rsidRPr="00F46EF2">
        <w:rPr>
          <w:rFonts w:ascii="Times New Roman" w:eastAsia="ＭＳ Ｐ明朝" w:hAnsi="Times New Roman"/>
          <w:noProof/>
          <w:sz w:val="20"/>
          <w:szCs w:val="21"/>
          <w:lang w:eastAsia="ja-JP"/>
        </w:rPr>
        <w:t>7</w:t>
      </w:r>
      <w:r w:rsidR="0072230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 xml:space="preserve">. </w:t>
      </w:r>
    </w:p>
    <w:p w14:paraId="09038432" w14:textId="77777777" w:rsidR="00156C9E" w:rsidRDefault="00156C9E" w:rsidP="00156C9E">
      <w:pPr>
        <w:pStyle w:val="af8"/>
        <w:ind w:left="0" w:firstLine="0"/>
      </w:pPr>
      <w:bookmarkStart w:id="20" w:name="_Ref146542585"/>
      <w:r w:rsidRPr="005A7958">
        <w:t xml:space="preserve">Table </w:t>
      </w:r>
      <w:r>
        <w:fldChar w:fldCharType="begin"/>
      </w:r>
      <w:r>
        <w:instrText xml:space="preserve"> SEQ Table \* ARABIC </w:instrText>
      </w:r>
      <w:r>
        <w:fldChar w:fldCharType="separate"/>
      </w:r>
      <w:r>
        <w:rPr>
          <w:noProof/>
        </w:rPr>
        <w:t>7</w:t>
      </w:r>
      <w:r>
        <w:rPr>
          <w:noProof/>
        </w:rPr>
        <w:fldChar w:fldCharType="end"/>
      </w:r>
      <w:bookmarkEnd w:id="20"/>
      <w:r w:rsidRPr="005A7958">
        <w:tab/>
        <w:t>Indirect and non-health benefits and harms methods by country</w:t>
      </w:r>
    </w:p>
    <w:tbl>
      <w:tblPr>
        <w:tblStyle w:val="af2"/>
        <w:tblW w:w="5000" w:type="pct"/>
        <w:tblLayout w:type="fixed"/>
        <w:tblLook w:val="04A0" w:firstRow="1" w:lastRow="0" w:firstColumn="1" w:lastColumn="0" w:noHBand="0" w:noVBand="1"/>
        <w:tblCaption w:val="Indirect and non-health benefits and harms methods by country"/>
      </w:tblPr>
      <w:tblGrid>
        <w:gridCol w:w="1054"/>
        <w:gridCol w:w="3722"/>
        <w:gridCol w:w="4284"/>
      </w:tblGrid>
      <w:tr w:rsidR="00156C9E" w:rsidRPr="00266418" w14:paraId="64262DAE" w14:textId="77777777" w:rsidTr="00634CA1">
        <w:trPr>
          <w:trHeight w:val="288"/>
          <w:tblHeader/>
        </w:trPr>
        <w:tc>
          <w:tcPr>
            <w:tcW w:w="582" w:type="pct"/>
            <w:noWrap/>
            <w:hideMark/>
          </w:tcPr>
          <w:p w14:paraId="66F327D0" w14:textId="77777777" w:rsidR="00156C9E" w:rsidRPr="00164D0F" w:rsidRDefault="00156C9E" w:rsidP="00634CA1">
            <w:pPr>
              <w:ind w:left="-79" w:right="-184"/>
              <w:rPr>
                <w:b/>
                <w:bCs/>
              </w:rPr>
            </w:pPr>
            <w:r>
              <w:rPr>
                <w:b/>
                <w:bCs/>
              </w:rPr>
              <w:t>Jurisdiction</w:t>
            </w:r>
          </w:p>
        </w:tc>
        <w:tc>
          <w:tcPr>
            <w:tcW w:w="2054" w:type="pct"/>
            <w:noWrap/>
            <w:hideMark/>
          </w:tcPr>
          <w:p w14:paraId="194B3281" w14:textId="77777777" w:rsidR="00156C9E" w:rsidRPr="00164D0F" w:rsidRDefault="00156C9E" w:rsidP="00634CA1">
            <w:pPr>
              <w:rPr>
                <w:b/>
                <w:bCs/>
              </w:rPr>
            </w:pPr>
            <w:r w:rsidRPr="00164D0F">
              <w:rPr>
                <w:b/>
                <w:bCs/>
              </w:rPr>
              <w:t>Methods</w:t>
            </w:r>
            <w:r>
              <w:rPr>
                <w:b/>
                <w:bCs/>
              </w:rPr>
              <w:t xml:space="preserve"> and evaluation approaches</w:t>
            </w:r>
          </w:p>
        </w:tc>
        <w:tc>
          <w:tcPr>
            <w:tcW w:w="2364" w:type="pct"/>
            <w:noWrap/>
            <w:hideMark/>
          </w:tcPr>
          <w:p w14:paraId="74DD2D77" w14:textId="77777777" w:rsidR="00156C9E" w:rsidRPr="00164D0F" w:rsidRDefault="00156C9E" w:rsidP="00634CA1">
            <w:pPr>
              <w:rPr>
                <w:b/>
                <w:bCs/>
              </w:rPr>
            </w:pPr>
            <w:r w:rsidRPr="00164D0F">
              <w:rPr>
                <w:b/>
                <w:bCs/>
              </w:rPr>
              <w:t>Application</w:t>
            </w:r>
          </w:p>
        </w:tc>
      </w:tr>
      <w:tr w:rsidR="00156C9E" w:rsidRPr="00266418" w14:paraId="7E6D221E" w14:textId="77777777" w:rsidTr="00634CA1">
        <w:trPr>
          <w:trHeight w:val="288"/>
        </w:trPr>
        <w:tc>
          <w:tcPr>
            <w:tcW w:w="582" w:type="pct"/>
            <w:noWrap/>
            <w:hideMark/>
          </w:tcPr>
          <w:p w14:paraId="27B36B5E" w14:textId="77777777" w:rsidR="00156C9E" w:rsidRPr="00693E42" w:rsidRDefault="00156C9E" w:rsidP="00634CA1">
            <w:pPr>
              <w:ind w:left="-79" w:right="-184"/>
              <w:rPr>
                <w:b/>
                <w:bCs/>
              </w:rPr>
            </w:pPr>
            <w:r w:rsidRPr="00693E42">
              <w:rPr>
                <w:b/>
                <w:bCs/>
              </w:rPr>
              <w:t>Australia (PBAC, MSAC)</w:t>
            </w:r>
          </w:p>
        </w:tc>
        <w:tc>
          <w:tcPr>
            <w:tcW w:w="2054" w:type="pct"/>
            <w:noWrap/>
            <w:hideMark/>
          </w:tcPr>
          <w:p w14:paraId="292AB1FE" w14:textId="77777777" w:rsidR="00156C9E" w:rsidRDefault="00156C9E" w:rsidP="00634CA1">
            <w:r>
              <w:t>FCA</w:t>
            </w:r>
          </w:p>
          <w:p w14:paraId="65FB23A1" w14:textId="77777777" w:rsidR="00156C9E" w:rsidRDefault="00156C9E" w:rsidP="00634CA1">
            <w:r>
              <w:t>CCA (MSAC)</w:t>
            </w:r>
          </w:p>
          <w:p w14:paraId="6E92C6D4" w14:textId="77777777" w:rsidR="00156C9E" w:rsidRDefault="00156C9E" w:rsidP="00634CA1">
            <w:r>
              <w:t>CBA (PBAC)</w:t>
            </w:r>
          </w:p>
          <w:p w14:paraId="0FE2B013" w14:textId="77777777" w:rsidR="00156C9E" w:rsidRDefault="00156C9E" w:rsidP="00634CA1">
            <w:r>
              <w:t>CA</w:t>
            </w:r>
            <w:r w:rsidRPr="00164D0F">
              <w:t xml:space="preserve"> or a </w:t>
            </w:r>
            <w:r>
              <w:t>DCE</w:t>
            </w:r>
          </w:p>
          <w:p w14:paraId="06898287" w14:textId="77777777" w:rsidR="00156C9E" w:rsidRDefault="00156C9E" w:rsidP="00634CA1">
            <w:r w:rsidRPr="00B06E04">
              <w:t>Impact on carers QoL</w:t>
            </w:r>
          </w:p>
          <w:p w14:paraId="64611C4E" w14:textId="77777777" w:rsidR="00156C9E" w:rsidRPr="00164D0F" w:rsidRDefault="00156C9E" w:rsidP="00634CA1">
            <w:r>
              <w:t>Value of knowing (MSAC only)</w:t>
            </w:r>
          </w:p>
        </w:tc>
        <w:tc>
          <w:tcPr>
            <w:tcW w:w="2364" w:type="pct"/>
            <w:noWrap/>
            <w:hideMark/>
          </w:tcPr>
          <w:p w14:paraId="7C87BD11" w14:textId="77777777" w:rsidR="00156C9E" w:rsidRPr="00274493" w:rsidRDefault="00156C9E" w:rsidP="00634CA1">
            <w:r>
              <w:t>D</w:t>
            </w:r>
            <w:r w:rsidRPr="00D3766D">
              <w:t>o not include in the base-case evaluation</w:t>
            </w:r>
            <w:r>
              <w:t>; Presented as supplementary analyses and outcomes.</w:t>
            </w:r>
          </w:p>
        </w:tc>
      </w:tr>
      <w:tr w:rsidR="00156C9E" w:rsidRPr="00266418" w14:paraId="667C6FCA" w14:textId="77777777" w:rsidTr="00634CA1">
        <w:trPr>
          <w:trHeight w:val="288"/>
        </w:trPr>
        <w:tc>
          <w:tcPr>
            <w:tcW w:w="582" w:type="pct"/>
            <w:noWrap/>
            <w:hideMark/>
          </w:tcPr>
          <w:p w14:paraId="3BC2DD4C" w14:textId="77777777" w:rsidR="00156C9E" w:rsidRPr="00693E42" w:rsidRDefault="00156C9E" w:rsidP="00634CA1">
            <w:pPr>
              <w:ind w:left="-79" w:right="-184"/>
              <w:rPr>
                <w:b/>
                <w:bCs/>
              </w:rPr>
            </w:pPr>
            <w:r w:rsidRPr="00693E42">
              <w:rPr>
                <w:b/>
                <w:bCs/>
              </w:rPr>
              <w:t>England and Wales (NICE)</w:t>
            </w:r>
          </w:p>
        </w:tc>
        <w:tc>
          <w:tcPr>
            <w:tcW w:w="2054" w:type="pct"/>
            <w:noWrap/>
            <w:hideMark/>
          </w:tcPr>
          <w:p w14:paraId="3DB084F3" w14:textId="77777777" w:rsidR="00156C9E" w:rsidRPr="00164D0F" w:rsidRDefault="00156C9E" w:rsidP="00634CA1">
            <w:r>
              <w:rPr>
                <w:rFonts w:eastAsia="Arial" w:cs="Times New Roman"/>
              </w:rPr>
              <w:t>Method n</w:t>
            </w:r>
            <w:r w:rsidRPr="000F448C">
              <w:rPr>
                <w:rFonts w:eastAsia="Arial" w:cs="Times New Roman"/>
              </w:rPr>
              <w:t>ot specified.</w:t>
            </w:r>
          </w:p>
        </w:tc>
        <w:tc>
          <w:tcPr>
            <w:tcW w:w="2364" w:type="pct"/>
            <w:noWrap/>
            <w:hideMark/>
          </w:tcPr>
          <w:p w14:paraId="37E93E09" w14:textId="77777777" w:rsidR="00156C9E" w:rsidRDefault="00156C9E" w:rsidP="00634CA1">
            <w:r w:rsidRPr="00164D0F">
              <w:t>Productivity costs should not be included in the reference case.</w:t>
            </w:r>
          </w:p>
          <w:p w14:paraId="09FDBE5B" w14:textId="77777777" w:rsidR="00156C9E" w:rsidRPr="00164D0F" w:rsidRDefault="00156C9E" w:rsidP="00634CA1">
            <w:r w:rsidRPr="00164D0F">
              <w:t>Non health benefits: If substantial proportion of the benefits are associated with significant benefits other than health and only after agreed upon with the D</w:t>
            </w:r>
            <w:r>
              <w:t xml:space="preserve">epartment </w:t>
            </w:r>
            <w:r w:rsidRPr="00164D0F">
              <w:t>o</w:t>
            </w:r>
            <w:r>
              <w:t xml:space="preserve">f </w:t>
            </w:r>
            <w:r w:rsidRPr="00164D0F">
              <w:t>H</w:t>
            </w:r>
            <w:r>
              <w:t>ealth</w:t>
            </w:r>
            <w:r w:rsidRPr="00164D0F">
              <w:t xml:space="preserve"> and Social Care.</w:t>
            </w:r>
          </w:p>
        </w:tc>
      </w:tr>
      <w:tr w:rsidR="00156C9E" w:rsidRPr="00266418" w14:paraId="32EEA508" w14:textId="77777777" w:rsidTr="00634CA1">
        <w:trPr>
          <w:trHeight w:val="288"/>
        </w:trPr>
        <w:tc>
          <w:tcPr>
            <w:tcW w:w="582" w:type="pct"/>
            <w:noWrap/>
            <w:hideMark/>
          </w:tcPr>
          <w:p w14:paraId="4ED98434" w14:textId="77777777" w:rsidR="00156C9E" w:rsidRPr="00693E42" w:rsidRDefault="00156C9E" w:rsidP="00634CA1">
            <w:pPr>
              <w:ind w:left="-79" w:right="-184"/>
              <w:rPr>
                <w:b/>
                <w:bCs/>
              </w:rPr>
            </w:pPr>
            <w:r w:rsidRPr="00693E42">
              <w:rPr>
                <w:b/>
                <w:bCs/>
              </w:rPr>
              <w:t>Scotland (SMC)</w:t>
            </w:r>
          </w:p>
        </w:tc>
        <w:tc>
          <w:tcPr>
            <w:tcW w:w="2054" w:type="pct"/>
            <w:noWrap/>
            <w:hideMark/>
          </w:tcPr>
          <w:p w14:paraId="09B1A758" w14:textId="77777777" w:rsidR="00156C9E" w:rsidRPr="00164D0F" w:rsidRDefault="00156C9E" w:rsidP="00634CA1">
            <w:r>
              <w:t>CCA (only for ultra-orphan medicines)</w:t>
            </w:r>
          </w:p>
          <w:p w14:paraId="7F6D9662" w14:textId="77777777" w:rsidR="00156C9E" w:rsidRPr="00164D0F" w:rsidRDefault="00156C9E" w:rsidP="00634CA1">
            <w:r w:rsidRPr="00164D0F">
              <w:t>Impact on carers QoL (</w:t>
            </w:r>
            <w:r>
              <w:t xml:space="preserve">measured using </w:t>
            </w:r>
            <w:r w:rsidRPr="00164D0F">
              <w:t>tools such as Carer Experience Scale)</w:t>
            </w:r>
            <w:r>
              <w:t xml:space="preserve">. </w:t>
            </w:r>
          </w:p>
          <w:p w14:paraId="2A2F2F61" w14:textId="77777777" w:rsidR="00156C9E" w:rsidRPr="00164D0F" w:rsidRDefault="00156C9E" w:rsidP="00634CA1">
            <w:r w:rsidRPr="00164D0F">
              <w:t>Assessment of impact on NHS staffing, infrastructure, and training requirements.</w:t>
            </w:r>
          </w:p>
        </w:tc>
        <w:tc>
          <w:tcPr>
            <w:tcW w:w="2364" w:type="pct"/>
            <w:noWrap/>
            <w:hideMark/>
          </w:tcPr>
          <w:p w14:paraId="6F3966CA" w14:textId="77777777" w:rsidR="00156C9E" w:rsidRDefault="00156C9E" w:rsidP="00634CA1">
            <w:r>
              <w:t xml:space="preserve">Presented as supplementary analyses and outcomes. </w:t>
            </w:r>
          </w:p>
          <w:p w14:paraId="08294953" w14:textId="77777777" w:rsidR="00156C9E" w:rsidRPr="00164D0F" w:rsidRDefault="00156C9E" w:rsidP="00634CA1">
            <w:r w:rsidRPr="00164D0F">
              <w:t>Considers impact beyond direct health benefits and on specialist services</w:t>
            </w:r>
            <w:r>
              <w:t xml:space="preserve">. </w:t>
            </w:r>
          </w:p>
        </w:tc>
      </w:tr>
      <w:tr w:rsidR="00156C9E" w:rsidRPr="00266418" w14:paraId="3E85672A" w14:textId="77777777" w:rsidTr="00634CA1">
        <w:trPr>
          <w:trHeight w:val="288"/>
        </w:trPr>
        <w:tc>
          <w:tcPr>
            <w:tcW w:w="582" w:type="pct"/>
            <w:noWrap/>
            <w:hideMark/>
          </w:tcPr>
          <w:p w14:paraId="083E005F" w14:textId="77777777" w:rsidR="00156C9E" w:rsidRPr="00693E42" w:rsidRDefault="00156C9E" w:rsidP="00634CA1">
            <w:pPr>
              <w:ind w:left="-79" w:right="-184"/>
              <w:rPr>
                <w:b/>
                <w:bCs/>
              </w:rPr>
            </w:pPr>
            <w:r w:rsidRPr="00693E42">
              <w:rPr>
                <w:b/>
                <w:bCs/>
              </w:rPr>
              <w:t>Canada (CADTH)</w:t>
            </w:r>
          </w:p>
        </w:tc>
        <w:tc>
          <w:tcPr>
            <w:tcW w:w="2054" w:type="pct"/>
            <w:noWrap/>
            <w:hideMark/>
          </w:tcPr>
          <w:p w14:paraId="4DA0F588" w14:textId="77777777" w:rsidR="00156C9E" w:rsidRDefault="00156C9E" w:rsidP="00634CA1">
            <w:r>
              <w:t xml:space="preserve">CCA </w:t>
            </w:r>
          </w:p>
          <w:p w14:paraId="32F84503" w14:textId="77777777" w:rsidR="00156C9E" w:rsidRDefault="00156C9E" w:rsidP="00634CA1">
            <w:r>
              <w:t>CBA</w:t>
            </w:r>
          </w:p>
          <w:p w14:paraId="797C5F6D" w14:textId="77777777" w:rsidR="00156C9E" w:rsidRPr="00164D0F" w:rsidRDefault="00156C9E" w:rsidP="00634CA1">
            <w:r w:rsidRPr="00164D0F">
              <w:t>Non-health effects</w:t>
            </w:r>
            <w:r>
              <w:t xml:space="preserve"> </w:t>
            </w:r>
            <w:r w:rsidRPr="00164D0F">
              <w:t>using time-trade-off or standard gamble.</w:t>
            </w:r>
          </w:p>
          <w:p w14:paraId="3365C28C" w14:textId="77777777" w:rsidR="00156C9E" w:rsidRPr="00164D0F" w:rsidRDefault="00156C9E" w:rsidP="00634CA1">
            <w:r>
              <w:t xml:space="preserve">FCA </w:t>
            </w:r>
            <w:r w:rsidRPr="00164D0F">
              <w:t xml:space="preserve">patient and caregiver time for paid labour, and opportunity cost method to estimate productivity costs related to unpaid labour. </w:t>
            </w:r>
            <w:r>
              <w:t xml:space="preserve">FCA for productivity losses. </w:t>
            </w:r>
          </w:p>
        </w:tc>
        <w:tc>
          <w:tcPr>
            <w:tcW w:w="2364" w:type="pct"/>
            <w:noWrap/>
            <w:hideMark/>
          </w:tcPr>
          <w:p w14:paraId="61E548B4" w14:textId="77777777" w:rsidR="00156C9E" w:rsidRDefault="00156C9E" w:rsidP="00634CA1">
            <w:r>
              <w:t>Presented as supplementary analyses and outcomes.</w:t>
            </w:r>
          </w:p>
          <w:p w14:paraId="3423050C" w14:textId="77777777" w:rsidR="00156C9E" w:rsidRPr="00164D0F" w:rsidRDefault="00156C9E" w:rsidP="00634CA1">
            <w:r w:rsidRPr="00164D0F">
              <w:t>Non-health effects considered if the decision problem requires a perspective other than that of the publicly funded health care payer in a non-reference case analysis.</w:t>
            </w:r>
          </w:p>
        </w:tc>
      </w:tr>
      <w:tr w:rsidR="00156C9E" w:rsidRPr="00266418" w14:paraId="34A2D53E" w14:textId="77777777" w:rsidTr="00634CA1">
        <w:trPr>
          <w:trHeight w:val="288"/>
        </w:trPr>
        <w:tc>
          <w:tcPr>
            <w:tcW w:w="582" w:type="pct"/>
            <w:noWrap/>
            <w:hideMark/>
          </w:tcPr>
          <w:p w14:paraId="1ED38CE1" w14:textId="77777777" w:rsidR="00156C9E" w:rsidRPr="00693E42" w:rsidRDefault="00156C9E" w:rsidP="00634CA1">
            <w:pPr>
              <w:ind w:left="-79" w:right="-184"/>
              <w:rPr>
                <w:b/>
                <w:bCs/>
              </w:rPr>
            </w:pPr>
            <w:r w:rsidRPr="00693E42">
              <w:rPr>
                <w:b/>
                <w:bCs/>
              </w:rPr>
              <w:t>New Zealand (PHARMAC)</w:t>
            </w:r>
          </w:p>
        </w:tc>
        <w:tc>
          <w:tcPr>
            <w:tcW w:w="2054" w:type="pct"/>
            <w:noWrap/>
            <w:hideMark/>
          </w:tcPr>
          <w:p w14:paraId="34D04651" w14:textId="77777777" w:rsidR="00156C9E" w:rsidRPr="00164D0F" w:rsidRDefault="00156C9E" w:rsidP="00634CA1">
            <w:r w:rsidRPr="00164D0F">
              <w:t>Not specified</w:t>
            </w:r>
            <w:r>
              <w:t xml:space="preserve"> (reasons are given for exclusion of indirect benefits)</w:t>
            </w:r>
            <w:r w:rsidRPr="00164D0F">
              <w:t>. If indirect health benefits are considered, they should be estimated and discussed in the report as a scenario analysis.</w:t>
            </w:r>
          </w:p>
        </w:tc>
        <w:tc>
          <w:tcPr>
            <w:tcW w:w="2364" w:type="pct"/>
            <w:noWrap/>
            <w:hideMark/>
          </w:tcPr>
          <w:p w14:paraId="35265C35" w14:textId="77777777" w:rsidR="00156C9E" w:rsidRDefault="00156C9E" w:rsidP="00634CA1">
            <w:r>
              <w:t xml:space="preserve">Recommended indirect costs are not included in CUAs. </w:t>
            </w:r>
          </w:p>
          <w:p w14:paraId="1BAC1B5F" w14:textId="77777777" w:rsidR="00156C9E" w:rsidRPr="00164D0F" w:rsidRDefault="00156C9E" w:rsidP="00634CA1">
            <w:r w:rsidRPr="00164D0F">
              <w:t>If the treatment might have a measurable but indirect impact on the HR-QoL of others, such as family and caregivers</w:t>
            </w:r>
          </w:p>
        </w:tc>
      </w:tr>
      <w:tr w:rsidR="00156C9E" w:rsidRPr="00266418" w14:paraId="5AC3E2D7" w14:textId="77777777" w:rsidTr="00634CA1">
        <w:trPr>
          <w:trHeight w:val="288"/>
        </w:trPr>
        <w:tc>
          <w:tcPr>
            <w:tcW w:w="582" w:type="pct"/>
            <w:noWrap/>
            <w:hideMark/>
          </w:tcPr>
          <w:p w14:paraId="65DB7B2C" w14:textId="77777777" w:rsidR="00156C9E" w:rsidRPr="00693E42" w:rsidRDefault="00156C9E" w:rsidP="00634CA1">
            <w:pPr>
              <w:ind w:left="-79" w:right="-184"/>
              <w:rPr>
                <w:b/>
                <w:bCs/>
              </w:rPr>
            </w:pPr>
            <w:r w:rsidRPr="00693E42">
              <w:rPr>
                <w:b/>
                <w:bCs/>
              </w:rPr>
              <w:t>France (HAS)</w:t>
            </w:r>
          </w:p>
        </w:tc>
        <w:tc>
          <w:tcPr>
            <w:tcW w:w="2054" w:type="pct"/>
            <w:noWrap/>
            <w:hideMark/>
          </w:tcPr>
          <w:p w14:paraId="3011240C" w14:textId="77777777" w:rsidR="00156C9E" w:rsidRPr="00164D0F" w:rsidRDefault="00156C9E" w:rsidP="00634CA1">
            <w:r>
              <w:t>HCA or FCA</w:t>
            </w:r>
          </w:p>
        </w:tc>
        <w:tc>
          <w:tcPr>
            <w:tcW w:w="2364" w:type="pct"/>
            <w:noWrap/>
            <w:hideMark/>
          </w:tcPr>
          <w:p w14:paraId="1CA0AAC4" w14:textId="77777777" w:rsidR="00156C9E" w:rsidRPr="00164D0F" w:rsidRDefault="00156C9E" w:rsidP="00634CA1">
            <w:r>
              <w:t>H</w:t>
            </w:r>
            <w:r w:rsidRPr="00164D0F">
              <w:t>ealth effects are prioritised.</w:t>
            </w:r>
            <w:r>
              <w:t xml:space="preserve"> </w:t>
            </w:r>
            <w:r w:rsidRPr="00164D0F">
              <w:t>Non-health outcomes are not given equal emphasis but can be presented as supplemental analysis</w:t>
            </w:r>
          </w:p>
        </w:tc>
      </w:tr>
      <w:tr w:rsidR="00156C9E" w:rsidRPr="00266418" w14:paraId="649B0768" w14:textId="77777777" w:rsidTr="00634CA1">
        <w:trPr>
          <w:trHeight w:val="288"/>
        </w:trPr>
        <w:tc>
          <w:tcPr>
            <w:tcW w:w="582" w:type="pct"/>
            <w:noWrap/>
            <w:hideMark/>
          </w:tcPr>
          <w:p w14:paraId="27E23071" w14:textId="77777777" w:rsidR="00156C9E" w:rsidRPr="00693E42" w:rsidRDefault="00156C9E" w:rsidP="00634CA1">
            <w:pPr>
              <w:ind w:left="-79" w:right="-184"/>
              <w:rPr>
                <w:b/>
                <w:bCs/>
              </w:rPr>
            </w:pPr>
            <w:r w:rsidRPr="00693E42">
              <w:rPr>
                <w:b/>
                <w:bCs/>
              </w:rPr>
              <w:t>Germany (</w:t>
            </w:r>
            <w:proofErr w:type="spellStart"/>
            <w:r w:rsidRPr="00693E42">
              <w:rPr>
                <w:b/>
                <w:bCs/>
              </w:rPr>
              <w:t>IQWiG</w:t>
            </w:r>
            <w:proofErr w:type="spellEnd"/>
            <w:r w:rsidRPr="00693E42">
              <w:rPr>
                <w:b/>
                <w:bCs/>
              </w:rPr>
              <w:t>)</w:t>
            </w:r>
          </w:p>
        </w:tc>
        <w:tc>
          <w:tcPr>
            <w:tcW w:w="2054" w:type="pct"/>
            <w:noWrap/>
            <w:hideMark/>
          </w:tcPr>
          <w:p w14:paraId="2B692CD4" w14:textId="77777777" w:rsidR="00156C9E" w:rsidRDefault="00156C9E" w:rsidP="00634CA1">
            <w:r>
              <w:t>FCA</w:t>
            </w:r>
            <w:r w:rsidRPr="00164D0F">
              <w:t xml:space="preserve"> </w:t>
            </w:r>
          </w:p>
          <w:p w14:paraId="7CE98951" w14:textId="77777777" w:rsidR="00156C9E" w:rsidRPr="00164D0F" w:rsidRDefault="00156C9E" w:rsidP="00634CA1">
            <w:r>
              <w:t xml:space="preserve">HCA </w:t>
            </w:r>
          </w:p>
        </w:tc>
        <w:tc>
          <w:tcPr>
            <w:tcW w:w="2364" w:type="pct"/>
            <w:noWrap/>
            <w:hideMark/>
          </w:tcPr>
          <w:p w14:paraId="2645F37F" w14:textId="77777777" w:rsidR="00156C9E" w:rsidRPr="00164D0F" w:rsidRDefault="00156C9E" w:rsidP="00634CA1">
            <w:r w:rsidRPr="00164D0F">
              <w:t xml:space="preserve">Productivity losses using the </w:t>
            </w:r>
            <w:r>
              <w:t>FCA</w:t>
            </w:r>
            <w:r w:rsidRPr="00164D0F">
              <w:t xml:space="preserve"> with </w:t>
            </w:r>
            <w:r>
              <w:t>HCA</w:t>
            </w:r>
            <w:r w:rsidRPr="00164D0F">
              <w:t xml:space="preserve"> in sensitivity analyses. If the time expenditure of </w:t>
            </w:r>
            <w:r w:rsidRPr="00164D0F">
              <w:lastRenderedPageBreak/>
              <w:t>affected persons or relatives is considered, the net wage is used as method to estimate it.</w:t>
            </w:r>
            <w:r>
              <w:t xml:space="preserve"> </w:t>
            </w:r>
          </w:p>
        </w:tc>
      </w:tr>
      <w:tr w:rsidR="00156C9E" w:rsidRPr="00266418" w14:paraId="2DD6E377" w14:textId="77777777" w:rsidTr="00634CA1">
        <w:trPr>
          <w:trHeight w:val="288"/>
        </w:trPr>
        <w:tc>
          <w:tcPr>
            <w:tcW w:w="582" w:type="pct"/>
            <w:noWrap/>
          </w:tcPr>
          <w:p w14:paraId="2A780A6F" w14:textId="77777777" w:rsidR="00156C9E" w:rsidRPr="00693E42" w:rsidRDefault="00156C9E" w:rsidP="00634CA1">
            <w:pPr>
              <w:ind w:left="-79" w:right="-184"/>
              <w:rPr>
                <w:b/>
                <w:bCs/>
              </w:rPr>
            </w:pPr>
            <w:r w:rsidRPr="00693E42">
              <w:rPr>
                <w:b/>
                <w:bCs/>
              </w:rPr>
              <w:lastRenderedPageBreak/>
              <w:t>Norway (</w:t>
            </w:r>
            <w:proofErr w:type="spellStart"/>
            <w:r w:rsidRPr="00693E42">
              <w:rPr>
                <w:b/>
                <w:bCs/>
              </w:rPr>
              <w:t>NoMA</w:t>
            </w:r>
            <w:proofErr w:type="spellEnd"/>
            <w:r w:rsidRPr="00693E42">
              <w:rPr>
                <w:b/>
                <w:bCs/>
              </w:rPr>
              <w:t>, NIPH)</w:t>
            </w:r>
          </w:p>
        </w:tc>
        <w:tc>
          <w:tcPr>
            <w:tcW w:w="2054" w:type="pct"/>
            <w:noWrap/>
          </w:tcPr>
          <w:p w14:paraId="5A34FC25" w14:textId="77777777" w:rsidR="00156C9E" w:rsidRDefault="00156C9E" w:rsidP="00634CA1">
            <w:pPr>
              <w:rPr>
                <w:rFonts w:eastAsia="Arial" w:cs="Times New Roman"/>
              </w:rPr>
            </w:pPr>
            <w:r>
              <w:t xml:space="preserve">Value of time </w:t>
            </w:r>
            <w:r w:rsidRPr="00B06E04">
              <w:rPr>
                <w:rFonts w:eastAsia="Arial" w:cs="Times New Roman"/>
              </w:rPr>
              <w:t>for caregivers and patients</w:t>
            </w:r>
          </w:p>
          <w:p w14:paraId="3DB9FDA5" w14:textId="77777777" w:rsidR="00156C9E" w:rsidRPr="00164D0F" w:rsidRDefault="00156C9E" w:rsidP="00634CA1">
            <w:r>
              <w:rPr>
                <w:rFonts w:eastAsia="Arial" w:cs="Times New Roman"/>
              </w:rPr>
              <w:t xml:space="preserve">Carer </w:t>
            </w:r>
            <w:proofErr w:type="spellStart"/>
            <w:r>
              <w:rPr>
                <w:rFonts w:eastAsia="Arial" w:cs="Times New Roman"/>
              </w:rPr>
              <w:t>HRQoL</w:t>
            </w:r>
            <w:proofErr w:type="spellEnd"/>
            <w:r>
              <w:rPr>
                <w:rFonts w:eastAsia="Arial" w:cs="Times New Roman"/>
              </w:rPr>
              <w:t xml:space="preserve"> quantified in QALYs</w:t>
            </w:r>
            <w:r>
              <w:t>.</w:t>
            </w:r>
          </w:p>
        </w:tc>
        <w:tc>
          <w:tcPr>
            <w:tcW w:w="2364" w:type="pct"/>
            <w:noWrap/>
          </w:tcPr>
          <w:p w14:paraId="2344737E" w14:textId="77777777" w:rsidR="00156C9E" w:rsidRDefault="00156C9E" w:rsidP="00634CA1">
            <w:r w:rsidRPr="00164D0F">
              <w:t>Productivity changes must not be included</w:t>
            </w:r>
            <w:r>
              <w:t xml:space="preserve">. </w:t>
            </w:r>
          </w:p>
          <w:p w14:paraId="140F665E" w14:textId="77777777" w:rsidR="00156C9E" w:rsidRPr="00164D0F" w:rsidRDefault="00156C9E" w:rsidP="00634CA1">
            <w:r w:rsidRPr="00164D0F">
              <w:t xml:space="preserve">If the intervention and the comparator have different time requirements. The costs of the intervention and the comparator must be presented in a way that reflects the differences in time use. </w:t>
            </w:r>
          </w:p>
        </w:tc>
      </w:tr>
      <w:tr w:rsidR="00156C9E" w:rsidRPr="00266418" w14:paraId="71786ACF" w14:textId="77777777" w:rsidTr="00634CA1">
        <w:trPr>
          <w:trHeight w:val="288"/>
        </w:trPr>
        <w:tc>
          <w:tcPr>
            <w:tcW w:w="582" w:type="pct"/>
            <w:noWrap/>
          </w:tcPr>
          <w:p w14:paraId="27E1125D" w14:textId="77777777" w:rsidR="00156C9E" w:rsidRPr="00693E42" w:rsidRDefault="00156C9E" w:rsidP="00634CA1">
            <w:pPr>
              <w:ind w:left="-79" w:right="-184"/>
              <w:rPr>
                <w:b/>
                <w:bCs/>
              </w:rPr>
            </w:pPr>
            <w:r w:rsidRPr="00693E42">
              <w:rPr>
                <w:b/>
                <w:bCs/>
              </w:rPr>
              <w:t xml:space="preserve">Sweden </w:t>
            </w:r>
            <w:r>
              <w:rPr>
                <w:b/>
                <w:bCs/>
              </w:rPr>
              <w:br/>
            </w:r>
            <w:r w:rsidRPr="00693E42">
              <w:rPr>
                <w:b/>
                <w:bCs/>
              </w:rPr>
              <w:t>(TLV)</w:t>
            </w:r>
          </w:p>
        </w:tc>
        <w:tc>
          <w:tcPr>
            <w:tcW w:w="2054" w:type="pct"/>
            <w:noWrap/>
          </w:tcPr>
          <w:p w14:paraId="008A543A" w14:textId="77777777" w:rsidR="00156C9E" w:rsidRDefault="00156C9E" w:rsidP="00634CA1">
            <w:r>
              <w:t>Including c</w:t>
            </w:r>
            <w:r w:rsidRPr="00164D0F">
              <w:t>aregivers QoL</w:t>
            </w:r>
          </w:p>
          <w:p w14:paraId="55CDF1C3" w14:textId="77777777" w:rsidR="00156C9E" w:rsidRDefault="00156C9E" w:rsidP="00634CA1">
            <w:r w:rsidRPr="00164D0F">
              <w:t>standardi</w:t>
            </w:r>
            <w:r>
              <w:t>s</w:t>
            </w:r>
            <w:r w:rsidRPr="00164D0F">
              <w:t>ed approximation – a standard rate.</w:t>
            </w:r>
          </w:p>
        </w:tc>
        <w:tc>
          <w:tcPr>
            <w:tcW w:w="2364" w:type="pct"/>
            <w:noWrap/>
          </w:tcPr>
          <w:p w14:paraId="58C0A4A0" w14:textId="77777777" w:rsidR="00156C9E" w:rsidRPr="00164D0F" w:rsidRDefault="00156C9E" w:rsidP="00634CA1">
            <w:r>
              <w:rPr>
                <w:rFonts w:eastAsia="Arial" w:cs="Times New Roman"/>
              </w:rPr>
              <w:t xml:space="preserve">Societal perspective is used for reference case. </w:t>
            </w:r>
            <w:r w:rsidRPr="00164D0F">
              <w:t>Only when the impact on family members is high for the condition and the treatment can lead to an improvement in health-related quality of life for the family members.</w:t>
            </w:r>
          </w:p>
        </w:tc>
      </w:tr>
      <w:tr w:rsidR="00156C9E" w:rsidRPr="00266418" w14:paraId="7FB998D1" w14:textId="77777777" w:rsidTr="00634CA1">
        <w:trPr>
          <w:trHeight w:val="288"/>
        </w:trPr>
        <w:tc>
          <w:tcPr>
            <w:tcW w:w="582" w:type="pct"/>
            <w:noWrap/>
          </w:tcPr>
          <w:p w14:paraId="33A67B7D" w14:textId="77777777" w:rsidR="00156C9E" w:rsidRPr="00693E42" w:rsidRDefault="00156C9E" w:rsidP="00634CA1">
            <w:pPr>
              <w:ind w:left="-79" w:right="-184"/>
              <w:rPr>
                <w:b/>
                <w:bCs/>
              </w:rPr>
            </w:pPr>
            <w:r w:rsidRPr="00693E42">
              <w:rPr>
                <w:b/>
                <w:bCs/>
              </w:rPr>
              <w:t>Belgium (KCE)</w:t>
            </w:r>
          </w:p>
        </w:tc>
        <w:tc>
          <w:tcPr>
            <w:tcW w:w="2054" w:type="pct"/>
            <w:noWrap/>
          </w:tcPr>
          <w:p w14:paraId="14DC40A8" w14:textId="77777777" w:rsidR="00156C9E" w:rsidRDefault="00156C9E" w:rsidP="00634CA1">
            <w:pPr>
              <w:rPr>
                <w:rFonts w:eastAsia="Arial" w:cs="Times New Roman"/>
              </w:rPr>
            </w:pPr>
            <w:r>
              <w:rPr>
                <w:rFonts w:eastAsia="Arial" w:cs="Times New Roman"/>
              </w:rPr>
              <w:t>HCA.</w:t>
            </w:r>
          </w:p>
          <w:p w14:paraId="60A92321" w14:textId="77777777" w:rsidR="00156C9E" w:rsidRDefault="00156C9E" w:rsidP="00634CA1">
            <w:pPr>
              <w:rPr>
                <w:rFonts w:eastAsia="Arial" w:cs="Times New Roman"/>
              </w:rPr>
            </w:pPr>
            <w:r>
              <w:rPr>
                <w:rFonts w:eastAsia="Arial" w:cs="Times New Roman"/>
              </w:rPr>
              <w:t>FCA</w:t>
            </w:r>
          </w:p>
          <w:p w14:paraId="53B5885F" w14:textId="77777777" w:rsidR="00156C9E" w:rsidRDefault="00156C9E" w:rsidP="00634CA1">
            <w:pPr>
              <w:rPr>
                <w:rFonts w:eastAsia="Arial" w:cs="Times New Roman"/>
              </w:rPr>
            </w:pPr>
            <w:r>
              <w:rPr>
                <w:rFonts w:eastAsia="Arial" w:cs="Times New Roman"/>
              </w:rPr>
              <w:t>Incremental number of unpaid working days</w:t>
            </w:r>
          </w:p>
          <w:p w14:paraId="763D871D" w14:textId="77777777" w:rsidR="00156C9E" w:rsidRDefault="00156C9E" w:rsidP="00634CA1">
            <w:r>
              <w:rPr>
                <w:rFonts w:eastAsia="Arial" w:cs="Times New Roman"/>
              </w:rPr>
              <w:t>Caregivers QoL</w:t>
            </w:r>
          </w:p>
        </w:tc>
        <w:tc>
          <w:tcPr>
            <w:tcW w:w="2364" w:type="pct"/>
            <w:noWrap/>
          </w:tcPr>
          <w:p w14:paraId="3175653D" w14:textId="77777777" w:rsidR="00156C9E" w:rsidRPr="00164D0F" w:rsidRDefault="00156C9E" w:rsidP="00634CA1">
            <w:r w:rsidRPr="00BF5C42">
              <w:rPr>
                <w:rFonts w:eastAsia="Arial" w:cs="Times New Roman"/>
              </w:rPr>
              <w:t>I</w:t>
            </w:r>
            <w:r>
              <w:rPr>
                <w:rFonts w:eastAsia="Arial" w:cs="Times New Roman"/>
              </w:rPr>
              <w:t xml:space="preserve">nclude in supplemental analysis if </w:t>
            </w:r>
            <w:r w:rsidRPr="00BF5C42">
              <w:rPr>
                <w:rFonts w:eastAsia="Arial" w:cs="Times New Roman"/>
              </w:rPr>
              <w:t>productivity losses, non-health care costs and/or unrelated health care</w:t>
            </w:r>
            <w:r>
              <w:rPr>
                <w:rFonts w:eastAsia="Arial" w:cs="Times New Roman"/>
              </w:rPr>
              <w:t xml:space="preserve"> </w:t>
            </w:r>
            <w:r w:rsidRPr="00BF5C42">
              <w:rPr>
                <w:rFonts w:eastAsia="Arial" w:cs="Times New Roman"/>
              </w:rPr>
              <w:t>costs are deemed important for a specific treatment</w:t>
            </w:r>
            <w:r>
              <w:rPr>
                <w:rFonts w:eastAsia="Arial" w:cs="Times New Roman"/>
              </w:rPr>
              <w:t>.</w:t>
            </w:r>
          </w:p>
        </w:tc>
      </w:tr>
      <w:tr w:rsidR="00156C9E" w:rsidRPr="00266418" w14:paraId="67D91CFA" w14:textId="77777777" w:rsidTr="00634CA1">
        <w:trPr>
          <w:trHeight w:val="288"/>
        </w:trPr>
        <w:tc>
          <w:tcPr>
            <w:tcW w:w="582" w:type="pct"/>
            <w:noWrap/>
          </w:tcPr>
          <w:p w14:paraId="0E288AF5" w14:textId="77777777" w:rsidR="00156C9E" w:rsidRPr="00693E42" w:rsidRDefault="00156C9E" w:rsidP="00634CA1">
            <w:pPr>
              <w:ind w:left="-79" w:right="-184"/>
              <w:rPr>
                <w:b/>
                <w:bCs/>
              </w:rPr>
            </w:pPr>
            <w:r w:rsidRPr="00693E42">
              <w:rPr>
                <w:b/>
                <w:bCs/>
              </w:rPr>
              <w:t>The Netherlands (ZIN)</w:t>
            </w:r>
          </w:p>
        </w:tc>
        <w:tc>
          <w:tcPr>
            <w:tcW w:w="2054" w:type="pct"/>
            <w:noWrap/>
          </w:tcPr>
          <w:p w14:paraId="44678463" w14:textId="77777777" w:rsidR="00156C9E" w:rsidRDefault="00156C9E" w:rsidP="00634CA1">
            <w:r>
              <w:t xml:space="preserve">Reference case includes societal perspective including productivity using FCA and costs for patients and families. </w:t>
            </w:r>
          </w:p>
          <w:p w14:paraId="524EAA52" w14:textId="77777777" w:rsidR="00156C9E" w:rsidRDefault="00156C9E" w:rsidP="00634CA1">
            <w:r>
              <w:t xml:space="preserve">Intersectoral costs and </w:t>
            </w:r>
            <w:proofErr w:type="spellStart"/>
            <w:r>
              <w:t>benefits</w:t>
            </w:r>
            <w:r w:rsidRPr="00B95F64">
              <w:rPr>
                <w:vertAlign w:val="superscript"/>
              </w:rPr>
              <w:t>a</w:t>
            </w:r>
            <w:proofErr w:type="spellEnd"/>
            <w:r>
              <w:t xml:space="preserve">. </w:t>
            </w:r>
          </w:p>
          <w:p w14:paraId="2EE8FC42" w14:textId="77777777" w:rsidR="00156C9E" w:rsidRPr="00164D0F" w:rsidRDefault="00156C9E" w:rsidP="00634CA1">
            <w:r>
              <w:rPr>
                <w:rFonts w:eastAsia="Arial" w:cs="Times New Roman"/>
              </w:rPr>
              <w:t>Well-being via ICECAP (only for long-term care interventions)</w:t>
            </w:r>
          </w:p>
        </w:tc>
        <w:tc>
          <w:tcPr>
            <w:tcW w:w="2364" w:type="pct"/>
            <w:noWrap/>
          </w:tcPr>
          <w:p w14:paraId="3B223C1B" w14:textId="77777777" w:rsidR="00156C9E" w:rsidRDefault="00156C9E" w:rsidP="00634CA1">
            <w:r>
              <w:t xml:space="preserve">FCA is presented for the reference case using a societal perspective. </w:t>
            </w:r>
          </w:p>
          <w:p w14:paraId="2B68A044" w14:textId="77777777" w:rsidR="00156C9E" w:rsidRPr="00164D0F" w:rsidRDefault="00156C9E" w:rsidP="00634CA1">
            <w:r>
              <w:t>Intersectoral costs and benefits included f</w:t>
            </w:r>
            <w:r w:rsidRPr="00164D0F">
              <w:t>or preventive interventions.</w:t>
            </w:r>
          </w:p>
        </w:tc>
      </w:tr>
      <w:tr w:rsidR="00156C9E" w:rsidRPr="00266418" w14:paraId="37E5B164" w14:textId="77777777" w:rsidTr="00634CA1">
        <w:trPr>
          <w:trHeight w:val="288"/>
        </w:trPr>
        <w:tc>
          <w:tcPr>
            <w:tcW w:w="582" w:type="pct"/>
            <w:noWrap/>
          </w:tcPr>
          <w:p w14:paraId="0F399F94" w14:textId="77777777" w:rsidR="00156C9E" w:rsidRPr="00693E42" w:rsidRDefault="00156C9E" w:rsidP="00634CA1">
            <w:pPr>
              <w:ind w:left="-79" w:right="-184"/>
              <w:rPr>
                <w:b/>
                <w:bCs/>
              </w:rPr>
            </w:pPr>
            <w:r w:rsidRPr="00693E42">
              <w:rPr>
                <w:b/>
                <w:bCs/>
              </w:rPr>
              <w:t>Spain (HTAA)</w:t>
            </w:r>
          </w:p>
        </w:tc>
        <w:tc>
          <w:tcPr>
            <w:tcW w:w="2054" w:type="pct"/>
            <w:noWrap/>
          </w:tcPr>
          <w:p w14:paraId="30ABB4CD" w14:textId="77777777" w:rsidR="00156C9E" w:rsidRDefault="00156C9E" w:rsidP="00634CA1">
            <w:pPr>
              <w:ind w:left="-79" w:right="-184"/>
            </w:pPr>
            <w:r>
              <w:rPr>
                <w:rFonts w:eastAsia="Arial" w:cs="Times New Roman"/>
              </w:rPr>
              <w:t xml:space="preserve">Not specified. </w:t>
            </w:r>
          </w:p>
        </w:tc>
        <w:tc>
          <w:tcPr>
            <w:tcW w:w="2364" w:type="pct"/>
            <w:noWrap/>
          </w:tcPr>
          <w:p w14:paraId="4643F39D" w14:textId="77777777" w:rsidR="00156C9E" w:rsidRDefault="00156C9E" w:rsidP="00634CA1">
            <w:r>
              <w:rPr>
                <w:rFonts w:eastAsia="Arial" w:cs="Times New Roman"/>
              </w:rPr>
              <w:t>Include cost of labour production losses or lost time. Include cost of caregiver in evaluation when the perspective used requires.</w:t>
            </w:r>
          </w:p>
        </w:tc>
      </w:tr>
      <w:tr w:rsidR="00156C9E" w:rsidRPr="00266418" w14:paraId="2CAE88CC" w14:textId="77777777" w:rsidTr="00634CA1">
        <w:trPr>
          <w:trHeight w:val="288"/>
        </w:trPr>
        <w:tc>
          <w:tcPr>
            <w:tcW w:w="582" w:type="pct"/>
            <w:noWrap/>
          </w:tcPr>
          <w:p w14:paraId="01D31DA0" w14:textId="77777777" w:rsidR="00156C9E" w:rsidRPr="00693E42" w:rsidRDefault="00156C9E" w:rsidP="00634CA1">
            <w:pPr>
              <w:ind w:left="-79" w:right="-184"/>
              <w:rPr>
                <w:b/>
                <w:bCs/>
              </w:rPr>
            </w:pPr>
            <w:r w:rsidRPr="00693E42">
              <w:rPr>
                <w:b/>
                <w:bCs/>
              </w:rPr>
              <w:t>Japan (C2H)</w:t>
            </w:r>
          </w:p>
        </w:tc>
        <w:tc>
          <w:tcPr>
            <w:tcW w:w="2054" w:type="pct"/>
            <w:noWrap/>
          </w:tcPr>
          <w:p w14:paraId="1B2443DE" w14:textId="77777777" w:rsidR="00156C9E" w:rsidRDefault="00156C9E" w:rsidP="00634CA1">
            <w:pPr>
              <w:rPr>
                <w:rFonts w:eastAsia="Arial" w:cs="Times New Roman"/>
              </w:rPr>
            </w:pPr>
            <w:r>
              <w:rPr>
                <w:rFonts w:eastAsia="Arial" w:cs="Times New Roman"/>
              </w:rPr>
              <w:t>HCA</w:t>
            </w:r>
          </w:p>
          <w:p w14:paraId="594C4CBA" w14:textId="77777777" w:rsidR="00156C9E" w:rsidRDefault="00156C9E" w:rsidP="00634CA1">
            <w:r>
              <w:rPr>
                <w:rFonts w:eastAsia="Arial" w:cs="Times New Roman"/>
              </w:rPr>
              <w:t>Impact on carer’s QoL (no method specified)</w:t>
            </w:r>
          </w:p>
        </w:tc>
        <w:tc>
          <w:tcPr>
            <w:tcW w:w="2364" w:type="pct"/>
            <w:noWrap/>
          </w:tcPr>
          <w:p w14:paraId="5F286B70" w14:textId="77777777" w:rsidR="00156C9E" w:rsidRDefault="00156C9E" w:rsidP="00634CA1">
            <w:r>
              <w:rPr>
                <w:rFonts w:eastAsia="Arial" w:cs="Times New Roman"/>
              </w:rPr>
              <w:t>Included in supplemental analysis only if this can be estimated using Japanese data.</w:t>
            </w:r>
          </w:p>
        </w:tc>
      </w:tr>
      <w:tr w:rsidR="00156C9E" w:rsidRPr="00266418" w14:paraId="703AF9B4" w14:textId="77777777" w:rsidTr="00634CA1">
        <w:trPr>
          <w:trHeight w:val="288"/>
        </w:trPr>
        <w:tc>
          <w:tcPr>
            <w:tcW w:w="582" w:type="pct"/>
            <w:noWrap/>
          </w:tcPr>
          <w:p w14:paraId="3EC2BD2C" w14:textId="77777777" w:rsidR="00156C9E" w:rsidRPr="00693E42" w:rsidRDefault="00156C9E" w:rsidP="00634CA1">
            <w:pPr>
              <w:ind w:left="-79" w:right="-184"/>
              <w:rPr>
                <w:b/>
                <w:bCs/>
              </w:rPr>
            </w:pPr>
            <w:r w:rsidRPr="00693E42">
              <w:rPr>
                <w:b/>
                <w:bCs/>
              </w:rPr>
              <w:t>Taiwan (</w:t>
            </w:r>
            <w:proofErr w:type="spellStart"/>
            <w:r w:rsidRPr="00693E42">
              <w:rPr>
                <w:b/>
                <w:bCs/>
              </w:rPr>
              <w:t>TaSPOR</w:t>
            </w:r>
            <w:proofErr w:type="spellEnd"/>
            <w:r w:rsidRPr="00693E42">
              <w:rPr>
                <w:b/>
                <w:bCs/>
              </w:rPr>
              <w:t>/</w:t>
            </w:r>
            <w:r>
              <w:rPr>
                <w:b/>
                <w:bCs/>
              </w:rPr>
              <w:t xml:space="preserve"> </w:t>
            </w:r>
            <w:r w:rsidRPr="00693E42">
              <w:rPr>
                <w:b/>
                <w:bCs/>
              </w:rPr>
              <w:t>CDE)</w:t>
            </w:r>
          </w:p>
        </w:tc>
        <w:tc>
          <w:tcPr>
            <w:tcW w:w="2054" w:type="pct"/>
            <w:noWrap/>
          </w:tcPr>
          <w:p w14:paraId="4FE00A43" w14:textId="77777777" w:rsidR="00156C9E" w:rsidRDefault="00156C9E" w:rsidP="00634CA1">
            <w:r>
              <w:rPr>
                <w:rFonts w:eastAsia="Arial" w:cs="Times New Roman"/>
              </w:rPr>
              <w:t>HCA</w:t>
            </w:r>
          </w:p>
        </w:tc>
        <w:tc>
          <w:tcPr>
            <w:tcW w:w="2364" w:type="pct"/>
            <w:noWrap/>
          </w:tcPr>
          <w:p w14:paraId="60F69EE7" w14:textId="77777777" w:rsidR="00156C9E" w:rsidRDefault="00156C9E" w:rsidP="00634CA1">
            <w:r>
              <w:rPr>
                <w:rFonts w:eastAsia="Arial" w:cs="Times New Roman"/>
              </w:rPr>
              <w:t xml:space="preserve">Societal perspective is used for reference case. </w:t>
            </w:r>
          </w:p>
        </w:tc>
      </w:tr>
      <w:tr w:rsidR="00156C9E" w:rsidRPr="00266418" w14:paraId="7ADD85E8" w14:textId="77777777" w:rsidTr="00634CA1">
        <w:trPr>
          <w:trHeight w:val="288"/>
        </w:trPr>
        <w:tc>
          <w:tcPr>
            <w:tcW w:w="582" w:type="pct"/>
            <w:noWrap/>
          </w:tcPr>
          <w:p w14:paraId="218A5CE9" w14:textId="77777777" w:rsidR="00156C9E" w:rsidRPr="00693E42" w:rsidRDefault="00156C9E" w:rsidP="00634CA1">
            <w:pPr>
              <w:ind w:left="-79" w:right="-184"/>
              <w:rPr>
                <w:b/>
                <w:bCs/>
              </w:rPr>
            </w:pPr>
            <w:r w:rsidRPr="00693E42">
              <w:rPr>
                <w:b/>
                <w:bCs/>
              </w:rPr>
              <w:t>Singapore (ACE)</w:t>
            </w:r>
          </w:p>
        </w:tc>
        <w:tc>
          <w:tcPr>
            <w:tcW w:w="2054" w:type="pct"/>
            <w:noWrap/>
          </w:tcPr>
          <w:p w14:paraId="541B2D7C" w14:textId="77777777" w:rsidR="00156C9E" w:rsidRDefault="00156C9E" w:rsidP="00634CA1">
            <w:r w:rsidRPr="00164D0F">
              <w:t xml:space="preserve">No specific methods identified in guidelines. </w:t>
            </w:r>
          </w:p>
          <w:p w14:paraId="31ACDBE5" w14:textId="77777777" w:rsidR="00156C9E" w:rsidRPr="00164D0F" w:rsidRDefault="00156C9E" w:rsidP="00634CA1">
            <w:r w:rsidRPr="00164D0F">
              <w:t xml:space="preserve">Non-health outcome relevant to the patient, or indirect impact on the quality of life of caregivers (e.g., family of the patient) will be considered on a case-by-case basis at the discretion of ACE’s committees. </w:t>
            </w:r>
          </w:p>
        </w:tc>
        <w:tc>
          <w:tcPr>
            <w:tcW w:w="2364" w:type="pct"/>
            <w:noWrap/>
          </w:tcPr>
          <w:p w14:paraId="4F7C9E9B" w14:textId="77777777" w:rsidR="00156C9E" w:rsidRPr="00164D0F" w:rsidRDefault="00156C9E" w:rsidP="00634CA1">
            <w:r>
              <w:t>I</w:t>
            </w:r>
            <w:r w:rsidRPr="00164D0F">
              <w:t>ncluded in supplementary analysis if important societal implications are involved (e.g., economic productivity impact).</w:t>
            </w:r>
          </w:p>
        </w:tc>
      </w:tr>
    </w:tbl>
    <w:p w14:paraId="72631240" w14:textId="77777777" w:rsidR="00FF745D" w:rsidRPr="00156C9E" w:rsidRDefault="00000000">
      <w:pPr>
        <w:pStyle w:val="afc"/>
        <w:rPr>
          <w:rFonts w:ascii="Times New Roman" w:eastAsia="ＭＳ Ｐ明朝" w:hAnsi="Times New Roman" w:cs="Times New Roman"/>
          <w:sz w:val="18"/>
          <w:szCs w:val="21"/>
        </w:rPr>
      </w:pPr>
      <w:r w:rsidRPr="00156C9E">
        <w:rPr>
          <w:rFonts w:ascii="Times New Roman" w:eastAsia="ＭＳ Ｐ明朝" w:hAnsi="Times New Roman" w:cs="Times New Roman"/>
          <w:sz w:val="18"/>
          <w:szCs w:val="21"/>
        </w:rPr>
        <w:t>ACE= Agency for Care Effectiveness; CBA= cost benefit analysis; CCA= cost consequence analysis; CUA= cost-utility analysis; FCA= friction cost approach; HAS= French National Authority for Health; HCA - human capital approach; HRQoL= Health related quality of life; IQWiG= Institute for Quality and Efficiency in Health Care (Germany); MSAC= Medical and Scientific Advisory Council; NHS= National Health Service</w:t>
      </w:r>
      <w:r w:rsidRPr="00156C9E">
        <w:rPr>
          <w:rFonts w:ascii="Times New Roman" w:eastAsia="ＭＳ Ｐ明朝" w:hAnsi="Times New Roman" w:cs="Times New Roman"/>
          <w:sz w:val="18"/>
          <w:szCs w:val="21"/>
        </w:rPr>
        <w:t>；</w:t>
      </w:r>
      <w:r w:rsidRPr="00156C9E">
        <w:rPr>
          <w:rFonts w:ascii="Times New Roman" w:eastAsia="ＭＳ Ｐ明朝" w:hAnsi="Times New Roman" w:cs="Times New Roman"/>
          <w:sz w:val="18"/>
          <w:szCs w:val="21"/>
        </w:rPr>
        <w:t>NICE= National Institute for Health and Care Excellence; NIPH= Norwegian Institute of Public Health; NoMA= Norwegian Medicines Agency; PBAC= Pharmaceutical Benefits Advisory Committee; PHARMAC= Pharmaceutical Management Agency; QoL=Quality of Life; SMC= Scottish Medicines Consortium; TLV= Swedish Dental and Pharmaceutical Benefits Agency; UK= United Kingdom; ZIN= The National Health Care Institute</w:t>
      </w:r>
      <w:r w:rsidRPr="00156C9E">
        <w:rPr>
          <w:rFonts w:ascii="Times New Roman" w:eastAsia="ＭＳ Ｐ明朝" w:hAnsi="Times New Roman" w:cs="Times New Roman"/>
          <w:sz w:val="18"/>
          <w:szCs w:val="21"/>
        </w:rPr>
        <w:t>；</w:t>
      </w:r>
      <w:r w:rsidRPr="00156C9E">
        <w:rPr>
          <w:rFonts w:ascii="Times New Roman" w:eastAsia="ＭＳ Ｐ明朝" w:hAnsi="Times New Roman" w:cs="Times New Roman"/>
          <w:sz w:val="18"/>
          <w:szCs w:val="21"/>
        </w:rPr>
        <w:t xml:space="preserve"> </w:t>
      </w:r>
    </w:p>
    <w:p w14:paraId="5DC01430" w14:textId="77777777" w:rsidR="00FF745D" w:rsidRPr="00156C9E" w:rsidRDefault="00000000">
      <w:pPr>
        <w:pStyle w:val="afc"/>
        <w:rPr>
          <w:rFonts w:ascii="Times New Roman" w:eastAsia="ＭＳ Ｐ明朝" w:hAnsi="Times New Roman" w:cs="Times New Roman"/>
          <w:sz w:val="18"/>
          <w:szCs w:val="21"/>
        </w:rPr>
      </w:pPr>
      <w:r w:rsidRPr="00156C9E">
        <w:rPr>
          <w:rFonts w:ascii="Times New Roman" w:eastAsia="ＭＳ Ｐ明朝" w:hAnsi="Times New Roman" w:cs="Times New Roman"/>
          <w:sz w:val="18"/>
          <w:szCs w:val="21"/>
        </w:rPr>
        <w:t xml:space="preserve">a </w:t>
      </w:r>
      <w:r w:rsidRPr="00156C9E">
        <w:rPr>
          <w:rFonts w:ascii="Times New Roman" w:eastAsia="ＭＳ Ｐ明朝" w:hAnsi="Times New Roman" w:cs="Times New Roman"/>
          <w:sz w:val="18"/>
          <w:szCs w:val="21"/>
        </w:rPr>
        <w:t>方法については、マーストリヒト大学が</w:t>
      </w:r>
      <w:r w:rsidRPr="00156C9E">
        <w:rPr>
          <w:rFonts w:ascii="Times New Roman" w:eastAsia="ＭＳ Ｐ明朝" w:hAnsi="Times New Roman" w:cs="Times New Roman"/>
          <w:sz w:val="18"/>
          <w:szCs w:val="21"/>
        </w:rPr>
        <w:t>2014</w:t>
      </w:r>
      <w:r w:rsidRPr="00156C9E">
        <w:rPr>
          <w:rFonts w:ascii="Times New Roman" w:eastAsia="ＭＳ Ｐ明朝" w:hAnsi="Times New Roman" w:cs="Times New Roman"/>
          <w:sz w:val="18"/>
          <w:szCs w:val="21"/>
        </w:rPr>
        <w:t>年に発表した「</w:t>
      </w:r>
      <w:r w:rsidRPr="00156C9E">
        <w:rPr>
          <w:rFonts w:ascii="Times New Roman" w:eastAsia="ＭＳ Ｐ明朝" w:hAnsi="Times New Roman" w:cs="Times New Roman"/>
          <w:sz w:val="18"/>
          <w:szCs w:val="21"/>
        </w:rPr>
        <w:t>Handleiding intersectorale kosten en baten van (preventieve) interventies</w:t>
      </w:r>
      <w:r w:rsidRPr="00156C9E">
        <w:rPr>
          <w:rFonts w:ascii="Times New Roman" w:eastAsia="ＭＳ Ｐ明朝" w:hAnsi="Times New Roman" w:cs="Times New Roman"/>
          <w:sz w:val="18"/>
          <w:szCs w:val="21"/>
        </w:rPr>
        <w:t>」という文書を参照しているが、この文書は英語ではなく、ソースから検索することはできなかった。</w:t>
      </w:r>
    </w:p>
    <w:p w14:paraId="2CD367DB" w14:textId="77777777" w:rsidR="00FF745D" w:rsidRPr="00156C9E" w:rsidRDefault="00000000">
      <w:pPr>
        <w:pStyle w:val="afc"/>
        <w:rPr>
          <w:rFonts w:ascii="Times New Roman" w:eastAsia="ＭＳ Ｐ明朝" w:hAnsi="Times New Roman" w:cs="Times New Roman"/>
          <w:sz w:val="18"/>
          <w:szCs w:val="21"/>
          <w:lang w:eastAsia="ja-JP"/>
        </w:rPr>
      </w:pPr>
      <w:r w:rsidRPr="00156C9E">
        <w:rPr>
          <w:rFonts w:ascii="Times New Roman" w:eastAsia="ＭＳ Ｐ明朝" w:hAnsi="Times New Roman" w:cs="Times New Roman"/>
          <w:sz w:val="18"/>
          <w:szCs w:val="21"/>
          <w:lang w:eastAsia="ja-JP"/>
        </w:rPr>
        <w:t>出典</w:t>
      </w:r>
      <w:r w:rsidR="00E36630" w:rsidRPr="00156C9E">
        <w:rPr>
          <w:rFonts w:ascii="Times New Roman" w:eastAsia="ＭＳ Ｐ明朝" w:hAnsi="Times New Roman" w:cs="Times New Roman"/>
          <w:sz w:val="18"/>
          <w:szCs w:val="21"/>
          <w:lang w:eastAsia="ja-JP"/>
        </w:rPr>
        <w:t>ACE</w:t>
      </w:r>
      <w:r w:rsidR="00E36630" w:rsidRPr="00156C9E">
        <w:rPr>
          <w:rFonts w:ascii="Times New Roman" w:eastAsia="ＭＳ Ｐ明朝" w:hAnsi="Times New Roman" w:cs="Times New Roman"/>
          <w:sz w:val="18"/>
          <w:szCs w:val="21"/>
          <w:lang w:eastAsia="ja-JP"/>
        </w:rPr>
        <w:t>ガイドライン</w:t>
      </w:r>
      <w:r w:rsidR="00E36630" w:rsidRPr="00156C9E">
        <w:rPr>
          <w:rFonts w:ascii="Times New Roman" w:eastAsia="ＭＳ Ｐ明朝" w:hAnsi="Times New Roman" w:cs="Times New Roman"/>
          <w:sz w:val="18"/>
          <w:szCs w:val="21"/>
          <w:lang w:eastAsia="ja-JP"/>
        </w:rPr>
        <w:t>2023</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C2H</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CADTH</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2017</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CDE</w:t>
      </w:r>
      <w:r w:rsidRPr="00156C9E">
        <w:rPr>
          <w:rFonts w:ascii="Times New Roman" w:eastAsia="ＭＳ Ｐ明朝" w:hAnsi="Times New Roman" w:cs="Times New Roman"/>
          <w:sz w:val="18"/>
          <w:szCs w:val="21"/>
          <w:lang w:eastAsia="ja-JP"/>
        </w:rPr>
        <w:t>（</w:t>
      </w:r>
      <w:proofErr w:type="spellStart"/>
      <w:r w:rsidRPr="00156C9E">
        <w:rPr>
          <w:rFonts w:ascii="Times New Roman" w:eastAsia="ＭＳ Ｐ明朝" w:hAnsi="Times New Roman" w:cs="Times New Roman"/>
          <w:sz w:val="18"/>
          <w:szCs w:val="21"/>
          <w:lang w:eastAsia="ja-JP"/>
        </w:rPr>
        <w:t>TasPOR</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2006</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HAS</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2020</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HIRA</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Bae</w:t>
      </w:r>
      <w:r w:rsidRPr="00156C9E">
        <w:rPr>
          <w:rFonts w:ascii="Times New Roman" w:eastAsia="ＭＳ Ｐ明朝" w:hAnsi="Times New Roman" w:cs="Times New Roman"/>
          <w:sz w:val="18"/>
          <w:szCs w:val="21"/>
          <w:lang w:eastAsia="ja-JP"/>
        </w:rPr>
        <w:t>ら）</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r w:rsidR="0010176F" w:rsidRPr="00156C9E">
        <w:rPr>
          <w:rFonts w:ascii="Times New Roman" w:eastAsia="ＭＳ Ｐ明朝" w:hAnsi="Times New Roman" w:cs="Times New Roman"/>
          <w:sz w:val="18"/>
          <w:szCs w:val="21"/>
          <w:lang w:eastAsia="ja-JP"/>
        </w:rPr>
        <w:t>HTAA</w:t>
      </w:r>
      <w:r w:rsidR="0010176F" w:rsidRPr="00156C9E">
        <w:rPr>
          <w:rFonts w:ascii="Times New Roman" w:eastAsia="ＭＳ Ｐ明朝" w:hAnsi="Times New Roman" w:cs="Times New Roman"/>
          <w:sz w:val="18"/>
          <w:szCs w:val="21"/>
          <w:lang w:eastAsia="ja-JP"/>
        </w:rPr>
        <w:t>ガイドライン（</w:t>
      </w:r>
      <w:r w:rsidR="0010176F" w:rsidRPr="00156C9E">
        <w:rPr>
          <w:rFonts w:ascii="Times New Roman" w:eastAsia="ＭＳ Ｐ明朝" w:hAnsi="Times New Roman" w:cs="Times New Roman"/>
          <w:sz w:val="18"/>
          <w:szCs w:val="21"/>
          <w:lang w:eastAsia="ja-JP"/>
        </w:rPr>
        <w:t>Lopez-Bastida</w:t>
      </w:r>
      <w:r w:rsidR="0010176F" w:rsidRPr="00156C9E">
        <w:rPr>
          <w:rFonts w:ascii="Times New Roman" w:eastAsia="ＭＳ Ｐ明朝" w:hAnsi="Times New Roman" w:cs="Times New Roman"/>
          <w:sz w:val="18"/>
          <w:szCs w:val="21"/>
          <w:lang w:eastAsia="ja-JP"/>
        </w:rPr>
        <w:t>ら）</w:t>
      </w:r>
      <w:r w:rsidR="0010176F" w:rsidRPr="00156C9E">
        <w:rPr>
          <w:rFonts w:ascii="Times New Roman" w:eastAsia="ＭＳ Ｐ明朝" w:hAnsi="Times New Roman" w:cs="Times New Roman"/>
          <w:sz w:val="18"/>
          <w:szCs w:val="21"/>
          <w:lang w:eastAsia="ja-JP"/>
        </w:rPr>
        <w:t>2010</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INESSS</w:t>
      </w:r>
      <w:r w:rsidRPr="00156C9E">
        <w:rPr>
          <w:rFonts w:ascii="Times New Roman" w:eastAsia="ＭＳ Ｐ明朝" w:hAnsi="Times New Roman" w:cs="Times New Roman"/>
          <w:sz w:val="18"/>
          <w:szCs w:val="21"/>
          <w:lang w:eastAsia="ja-JP"/>
        </w:rPr>
        <w:t>ガイドライン</w:t>
      </w:r>
      <w:r w:rsidR="00FD6E9B" w:rsidRPr="00156C9E">
        <w:rPr>
          <w:rFonts w:ascii="Times New Roman" w:eastAsia="ＭＳ Ｐ明朝" w:hAnsi="Times New Roman" w:cs="Times New Roman"/>
          <w:sz w:val="18"/>
          <w:szCs w:val="21"/>
          <w:lang w:eastAsia="ja-JP"/>
        </w:rPr>
        <w:t xml:space="preserve">2022 </w:t>
      </w:r>
      <w:r w:rsidR="00FD6E9B" w:rsidRPr="00156C9E">
        <w:rPr>
          <w:rFonts w:ascii="Times New Roman" w:eastAsia="ＭＳ Ｐ明朝" w:hAnsi="Times New Roman" w:cs="Times New Roman"/>
          <w:sz w:val="18"/>
          <w:szCs w:val="21"/>
        </w:rPr>
        <w:fldChar w:fldCharType="begin"/>
      </w:r>
      <w:r w:rsidR="005E33D6" w:rsidRPr="00156C9E">
        <w:rPr>
          <w:rFonts w:ascii="Times New Roman" w:eastAsia="ＭＳ Ｐ明朝" w:hAnsi="Times New Roman" w:cs="Times New Roman"/>
          <w:sz w:val="18"/>
          <w:szCs w:val="21"/>
          <w:lang w:eastAsia="ja-JP"/>
        </w:rPr>
        <w:instrText xml:space="preserve"> ADDIN EN.CITE &lt;EndNote&gt;&lt;Cite&gt;&lt;Author&gt;Institut national d’excellence en santé et en services sociaux (INESSS)&lt;/Author&gt;&lt;Year&gt;2022&lt;/Year&gt;&lt;RecNum&gt;368&lt;/RecNum&gt;&lt;DisplayText&gt;[36]&lt;/DisplayText&gt;&lt;record&gt;&lt;rec-number&gt;368&lt;/rec-number&gt;&lt;foreign-keys&gt;&lt;key app="EN" db-id="z25xddsz659sshedpdu5pda3dswx20f99sf9" timestamp="1695615009"&gt;368&lt;/key&gt;&lt;/foreign-keys&gt;&lt;ref-type name="Government Document"&gt;46&lt;/ref-type&gt;&lt;contributors&gt;&lt;authors&gt;&lt;author&gt;Institut national d’excellence en santé et en services sociaux (INESSS),&lt;/author&gt;&lt;/authors&gt;&lt;/contributors&gt;&lt;titles&gt;&lt;title&gt;INESSS Drug Submission Guidelines&lt;/title&gt;&lt;/titles&gt;&lt;dates&gt;&lt;year&gt;2022&lt;/year&gt;&lt;/dates&gt;&lt;urls&gt;&lt;/urls&gt;&lt;/record&gt;&lt;/Cite&gt;&lt;/EndNote&gt;</w:instrText>
      </w:r>
      <w:r w:rsidR="00FD6E9B" w:rsidRPr="00156C9E">
        <w:rPr>
          <w:rFonts w:ascii="Times New Roman" w:eastAsia="ＭＳ Ｐ明朝" w:hAnsi="Times New Roman" w:cs="Times New Roman"/>
          <w:sz w:val="18"/>
          <w:szCs w:val="21"/>
        </w:rPr>
        <w:fldChar w:fldCharType="separate"/>
      </w:r>
      <w:r w:rsidR="005E33D6" w:rsidRPr="00156C9E">
        <w:rPr>
          <w:rFonts w:ascii="Times New Roman" w:eastAsia="ＭＳ Ｐ明朝" w:hAnsi="Times New Roman" w:cs="Times New Roman"/>
          <w:noProof/>
          <w:sz w:val="18"/>
          <w:szCs w:val="21"/>
          <w:lang w:eastAsia="ja-JP"/>
        </w:rPr>
        <w:t>[36]</w:t>
      </w:r>
      <w:proofErr w:type="spellStart"/>
      <w:r w:rsidR="00FD6E9B" w:rsidRPr="00156C9E">
        <w:rPr>
          <w:rFonts w:ascii="Times New Roman" w:eastAsia="ＭＳ Ｐ明朝" w:hAnsi="Times New Roman" w:cs="Times New Roman"/>
          <w:sz w:val="18"/>
          <w:szCs w:val="21"/>
        </w:rPr>
        <w:fldChar w:fldCharType="end"/>
      </w:r>
      <w:r w:rsidRPr="00156C9E">
        <w:rPr>
          <w:rFonts w:ascii="Times New Roman" w:eastAsia="ＭＳ Ｐ明朝" w:hAnsi="Times New Roman" w:cs="Times New Roman"/>
          <w:sz w:val="18"/>
          <w:szCs w:val="21"/>
          <w:lang w:eastAsia="ja-JP"/>
        </w:rPr>
        <w:t>IQWiG</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KCE</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2012</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MSAC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2021</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NICE</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proofErr w:type="spellStart"/>
      <w:r w:rsidRPr="00156C9E">
        <w:rPr>
          <w:rFonts w:ascii="Times New Roman" w:eastAsia="ＭＳ Ｐ明朝" w:hAnsi="Times New Roman" w:cs="Times New Roman"/>
          <w:sz w:val="18"/>
          <w:szCs w:val="21"/>
          <w:lang w:eastAsia="ja-JP"/>
        </w:rPr>
        <w:t>NoMA</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2018</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PBAC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2016</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PHARMAC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SMC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0010176F"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精密医療のための</w:t>
      </w:r>
      <w:r w:rsidRPr="00156C9E">
        <w:rPr>
          <w:rFonts w:ascii="Times New Roman" w:eastAsia="ＭＳ Ｐ明朝" w:hAnsi="Times New Roman" w:cs="Times New Roman"/>
          <w:sz w:val="18"/>
          <w:szCs w:val="21"/>
          <w:lang w:eastAsia="ja-JP"/>
        </w:rPr>
        <w:t>TLV</w:t>
      </w:r>
      <w:r w:rsidRPr="00156C9E">
        <w:rPr>
          <w:rFonts w:ascii="Times New Roman" w:eastAsia="ＭＳ Ｐ明朝" w:hAnsi="Times New Roman" w:cs="Times New Roman"/>
          <w:sz w:val="18"/>
          <w:szCs w:val="21"/>
          <w:lang w:eastAsia="ja-JP"/>
        </w:rPr>
        <w:t>ガイドライン</w:t>
      </w:r>
      <w:r w:rsidR="00601742" w:rsidRPr="00156C9E">
        <w:rPr>
          <w:rFonts w:ascii="Times New Roman" w:eastAsia="ＭＳ Ｐ明朝" w:hAnsi="Times New Roman" w:cs="Times New Roman"/>
          <w:sz w:val="18"/>
          <w:szCs w:val="21"/>
          <w:lang w:eastAsia="ja-JP"/>
        </w:rPr>
        <w:t xml:space="preserve">2022 </w:t>
      </w:r>
      <w:r w:rsidR="00601742" w:rsidRPr="00156C9E">
        <w:rPr>
          <w:rFonts w:ascii="Times New Roman" w:eastAsia="ＭＳ Ｐ明朝" w:hAnsi="Times New Roman" w:cs="Times New Roman"/>
          <w:sz w:val="18"/>
          <w:szCs w:val="21"/>
        </w:rPr>
        <w:fldChar w:fldCharType="begin"/>
      </w:r>
      <w:r w:rsidR="005E33D6" w:rsidRPr="00156C9E">
        <w:rPr>
          <w:rFonts w:ascii="Times New Roman" w:eastAsia="ＭＳ Ｐ明朝" w:hAnsi="Times New Roman" w:cs="Times New Roman"/>
          <w:sz w:val="18"/>
          <w:szCs w:val="21"/>
          <w:lang w:eastAsia="ja-JP"/>
        </w:rPr>
        <w:instrText xml:space="preserve"> ADDIN EN.CITE &lt;EndNote&gt;&lt;Cite&gt;&lt;Author&gt;Dental and Pharmaceutical Benefits Agency (TLV) &lt;/Author&gt;&lt;Year&gt;2022&lt;/Year&gt;&lt;RecNum&gt;43&lt;/RecNum&gt;&lt;DisplayText&gt;[37]&lt;/DisplayText&gt;&lt;record&gt;&lt;rec-number&gt;43&lt;/rec-number&gt;&lt;foreign-keys&gt;&lt;key app="EN" db-id="z25xddsz659sshedpdu5pda3dswx20f99sf9" timestamp="1692001882"&gt;43&lt;/key&gt;&lt;/foreign-keys&gt;&lt;ref-type name="Government Document"&gt;46&lt;/ref-type&gt;&lt;contributors&gt;&lt;authors&gt;&lt;author&gt;Dental and Pharmaceutical Benefits Agency (TLV) ,&lt;/author&gt;&lt;/authors&gt;&lt;/contributors&gt;&lt;titles&gt;&lt;title&gt;Calculation and payment. Continued study on evaluation methods and payment models for new medicines, such as ATMPs, and precision medicine&lt;/title&gt;&lt;/titles&gt;&lt;dates&gt;&lt;year&gt;2022&lt;/year&gt;&lt;/dates&gt;&lt;urls&gt;&lt;/urls&gt;&lt;/record&gt;&lt;/Cite&gt;&lt;/EndNote&gt;</w:instrText>
      </w:r>
      <w:r w:rsidR="00601742" w:rsidRPr="00156C9E">
        <w:rPr>
          <w:rFonts w:ascii="Times New Roman" w:eastAsia="ＭＳ Ｐ明朝" w:hAnsi="Times New Roman" w:cs="Times New Roman"/>
          <w:sz w:val="18"/>
          <w:szCs w:val="21"/>
        </w:rPr>
        <w:fldChar w:fldCharType="separate"/>
      </w:r>
      <w:r w:rsidR="005E33D6" w:rsidRPr="00156C9E">
        <w:rPr>
          <w:rFonts w:ascii="Times New Roman" w:eastAsia="ＭＳ Ｐ明朝" w:hAnsi="Times New Roman" w:cs="Times New Roman"/>
          <w:noProof/>
          <w:sz w:val="18"/>
          <w:szCs w:val="21"/>
          <w:lang w:eastAsia="ja-JP"/>
        </w:rPr>
        <w:t>[37]</w:t>
      </w:r>
      <w:r w:rsidR="00601742" w:rsidRPr="00156C9E">
        <w:rPr>
          <w:rFonts w:ascii="Times New Roman" w:eastAsia="ＭＳ Ｐ明朝" w:hAnsi="Times New Roman" w:cs="Times New Roman"/>
          <w:sz w:val="18"/>
          <w:szCs w:val="21"/>
        </w:rPr>
        <w:fldChar w:fldCharType="end"/>
      </w:r>
      <w:r w:rsidRPr="00156C9E">
        <w:rPr>
          <w:rFonts w:ascii="Times New Roman" w:eastAsia="ＭＳ Ｐ明朝" w:hAnsi="Times New Roman" w:cs="Times New Roman"/>
          <w:sz w:val="18"/>
          <w:szCs w:val="21"/>
          <w:lang w:eastAsia="ja-JP"/>
        </w:rPr>
        <w:t>ZIN</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2016</w:t>
      </w:r>
      <w:r w:rsidR="0010176F" w:rsidRPr="00156C9E">
        <w:rPr>
          <w:rFonts w:ascii="Times New Roman" w:eastAsia="ＭＳ Ｐ明朝" w:hAnsi="Times New Roman" w:cs="Times New Roman"/>
          <w:sz w:val="18"/>
          <w:szCs w:val="21"/>
          <w:lang w:eastAsia="ja-JP"/>
        </w:rPr>
        <w:t>。</w:t>
      </w:r>
      <w:r w:rsidR="0010176F" w:rsidRPr="00156C9E">
        <w:rPr>
          <w:rFonts w:ascii="Times New Roman" w:eastAsia="ＭＳ Ｐ明朝" w:hAnsi="Times New Roman" w:cs="Times New Roman"/>
          <w:sz w:val="18"/>
          <w:szCs w:val="21"/>
          <w:lang w:eastAsia="ja-JP"/>
        </w:rPr>
        <w:t xml:space="preserve"> </w:t>
      </w:r>
    </w:p>
    <w:p w14:paraId="4543FE0C"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lastRenderedPageBreak/>
        <w:t>3</w:t>
      </w:r>
      <w:r w:rsidRPr="00F46EF2">
        <w:rPr>
          <w:rFonts w:ascii="Times New Roman" w:eastAsia="ＭＳ Ｐ明朝" w:hAnsi="Times New Roman"/>
          <w:sz w:val="20"/>
          <w:szCs w:val="21"/>
          <w:lang w:eastAsia="ja-JP"/>
        </w:rPr>
        <w:t>つの国（オランダ（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）、台湾（</w:t>
      </w:r>
      <w:r w:rsidRPr="00F46EF2">
        <w:rPr>
          <w:rFonts w:ascii="Times New Roman" w:eastAsia="ＭＳ Ｐ明朝" w:hAnsi="Times New Roman"/>
          <w:sz w:val="20"/>
          <w:szCs w:val="21"/>
          <w:lang w:eastAsia="ja-JP"/>
        </w:rPr>
        <w:t>CDE</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））では、レファレンスケースの経済評価において社会的視点を用いるとしている。</w:t>
      </w:r>
      <w:r w:rsidR="00DF1718" w:rsidRPr="00F46EF2">
        <w:rPr>
          <w:rFonts w:ascii="Times New Roman" w:eastAsia="ＭＳ Ｐ明朝" w:hAnsi="Times New Roman"/>
          <w:sz w:val="20"/>
          <w:szCs w:val="21"/>
          <w:vertAlign w:val="superscript"/>
        </w:rPr>
        <w:fldChar w:fldCharType="begin"/>
      </w:r>
      <w:r w:rsidR="00DF1718" w:rsidRPr="00F46EF2">
        <w:rPr>
          <w:rFonts w:ascii="Times New Roman" w:eastAsia="ＭＳ Ｐ明朝" w:hAnsi="Times New Roman"/>
          <w:sz w:val="20"/>
          <w:szCs w:val="21"/>
          <w:vertAlign w:val="superscript"/>
          <w:lang w:eastAsia="ja-JP"/>
        </w:rPr>
        <w:instrText xml:space="preserve"> NOTEREF _Ref146544538 \h  \* MERGEFORMAT </w:instrText>
      </w:r>
      <w:r w:rsidR="00DF1718" w:rsidRPr="00F46EF2">
        <w:rPr>
          <w:rFonts w:ascii="Times New Roman" w:eastAsia="ＭＳ Ｐ明朝" w:hAnsi="Times New Roman"/>
          <w:sz w:val="20"/>
          <w:szCs w:val="21"/>
          <w:vertAlign w:val="superscript"/>
        </w:rPr>
      </w:r>
      <w:r w:rsidR="00DF1718" w:rsidRPr="00F46EF2">
        <w:rPr>
          <w:rFonts w:ascii="Times New Roman" w:eastAsia="ＭＳ Ｐ明朝" w:hAnsi="Times New Roman"/>
          <w:sz w:val="20"/>
          <w:szCs w:val="21"/>
          <w:vertAlign w:val="superscript"/>
        </w:rPr>
        <w:fldChar w:fldCharType="separate"/>
      </w:r>
      <w:r w:rsidR="00356B5C" w:rsidRPr="00F46EF2">
        <w:rPr>
          <w:rFonts w:ascii="Times New Roman" w:eastAsia="ＭＳ Ｐ明朝" w:hAnsi="Times New Roman"/>
          <w:sz w:val="20"/>
          <w:szCs w:val="21"/>
          <w:vertAlign w:val="superscript"/>
          <w:lang w:eastAsia="ja-JP"/>
        </w:rPr>
        <w:t>1</w:t>
      </w:r>
      <w:r w:rsidR="00DF1718" w:rsidRPr="00F46EF2">
        <w:rPr>
          <w:rFonts w:ascii="Times New Roman" w:eastAsia="ＭＳ Ｐ明朝" w:hAnsi="Times New Roman"/>
          <w:sz w:val="20"/>
          <w:szCs w:val="21"/>
          <w:vertAlign w:val="superscript"/>
        </w:rPr>
        <w:fldChar w:fldCharType="end"/>
      </w:r>
      <w:r w:rsidRPr="00F46EF2">
        <w:rPr>
          <w:rFonts w:ascii="Times New Roman" w:eastAsia="ＭＳ Ｐ明朝" w:hAnsi="Times New Roman"/>
          <w:sz w:val="20"/>
          <w:szCs w:val="21"/>
          <w:lang w:eastAsia="ja-JP"/>
        </w:rPr>
        <w:t>他のすべての機関（オーストラリアを含む）では、医療費支払者の視点がレファレンスケースに考慮されている。その結果、オランダ（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）を除き、すべての</w:t>
      </w:r>
      <w:r w:rsidR="0064555B" w:rsidRPr="00F46EF2">
        <w:rPr>
          <w:rFonts w:ascii="Times New Roman" w:eastAsia="ＭＳ Ｐ明朝" w:hAnsi="Times New Roman"/>
          <w:sz w:val="20"/>
          <w:szCs w:val="21"/>
          <w:lang w:eastAsia="ja-JP"/>
        </w:rPr>
        <w:t>国</w:t>
      </w:r>
      <w:r w:rsidRPr="00F46EF2">
        <w:rPr>
          <w:rFonts w:ascii="Times New Roman" w:eastAsia="ＭＳ Ｐ明朝" w:hAnsi="Times New Roman"/>
          <w:sz w:val="20"/>
          <w:szCs w:val="21"/>
          <w:lang w:eastAsia="ja-JP"/>
        </w:rPr>
        <w:t>・</w:t>
      </w:r>
      <w:r w:rsidR="0064555B" w:rsidRPr="00F46EF2">
        <w:rPr>
          <w:rFonts w:ascii="Times New Roman" w:eastAsia="ＭＳ Ｐ明朝" w:hAnsi="Times New Roman"/>
          <w:sz w:val="20"/>
          <w:szCs w:val="21"/>
          <w:lang w:eastAsia="ja-JP"/>
        </w:rPr>
        <w:t>機関において、</w:t>
      </w:r>
      <w:r w:rsidRPr="00F46EF2">
        <w:rPr>
          <w:rFonts w:ascii="Times New Roman" w:eastAsia="ＭＳ Ｐ明朝" w:hAnsi="Times New Roman"/>
          <w:sz w:val="20"/>
          <w:szCs w:val="21"/>
          <w:lang w:eastAsia="ja-JP"/>
        </w:rPr>
        <w:t>間接的便益と非健康的便益をリ</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ファレンスケースの補足分析として提示することが推奨される</w:t>
      </w:r>
      <w:proofErr w:type="spellEnd"/>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5C75E2C2" w14:textId="77777777" w:rsidR="00FF745D" w:rsidRPr="00F46EF2" w:rsidRDefault="00574797">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介入による介護者の</w:t>
      </w:r>
      <w:r w:rsidRPr="00F46EF2">
        <w:rPr>
          <w:rFonts w:ascii="Times New Roman" w:eastAsia="ＭＳ Ｐ明朝" w:hAnsi="Times New Roman"/>
          <w:sz w:val="20"/>
          <w:szCs w:val="21"/>
          <w:lang w:eastAsia="ja-JP"/>
        </w:rPr>
        <w:t>QoL</w:t>
      </w:r>
      <w:r w:rsidRPr="00F46EF2">
        <w:rPr>
          <w:rFonts w:ascii="Times New Roman" w:eastAsia="ＭＳ Ｐ明朝" w:hAnsi="Times New Roman"/>
          <w:sz w:val="20"/>
          <w:szCs w:val="21"/>
          <w:lang w:eastAsia="ja-JP"/>
        </w:rPr>
        <w:t>への影響を含めることを推奨しているのは</w:t>
      </w:r>
      <w:r w:rsidR="00000000" w:rsidRPr="00F46EF2">
        <w:rPr>
          <w:rFonts w:ascii="Times New Roman" w:eastAsia="ＭＳ Ｐ明朝" w:hAnsi="Times New Roman"/>
          <w:sz w:val="20"/>
          <w:szCs w:val="21"/>
          <w:lang w:eastAsia="ja-JP"/>
        </w:rPr>
        <w:t>9</w:t>
      </w:r>
      <w:r w:rsidRPr="00F46EF2">
        <w:rPr>
          <w:rFonts w:ascii="Times New Roman" w:eastAsia="ＭＳ Ｐ明朝" w:hAnsi="Times New Roman"/>
          <w:sz w:val="20"/>
          <w:szCs w:val="21"/>
          <w:lang w:eastAsia="ja-JP"/>
        </w:rPr>
        <w:t>機関である（</w:t>
      </w:r>
      <w:r w:rsidR="00000000" w:rsidRPr="00F46EF2">
        <w:rPr>
          <w:rFonts w:ascii="Times New Roman" w:eastAsia="ＭＳ Ｐ明朝" w:hAnsi="Times New Roman"/>
          <w:sz w:val="20"/>
          <w:szCs w:val="21"/>
          <w:lang w:eastAsia="ja-JP"/>
        </w:rPr>
        <w:t>イングランド・ウェールズ（</w:t>
      </w:r>
      <w:r w:rsidR="00000000" w:rsidRPr="00F46EF2">
        <w:rPr>
          <w:rFonts w:ascii="Times New Roman" w:eastAsia="ＭＳ Ｐ明朝" w:hAnsi="Times New Roman"/>
          <w:sz w:val="20"/>
          <w:szCs w:val="21"/>
          <w:lang w:eastAsia="ja-JP"/>
        </w:rPr>
        <w:t>NICE</w:t>
      </w:r>
      <w:r w:rsidR="00000000" w:rsidRPr="00F46EF2">
        <w:rPr>
          <w:rFonts w:ascii="Times New Roman" w:eastAsia="ＭＳ Ｐ明朝" w:hAnsi="Times New Roman"/>
          <w:sz w:val="20"/>
          <w:szCs w:val="21"/>
          <w:lang w:eastAsia="ja-JP"/>
        </w:rPr>
        <w:t>）、スウェーデン（</w:t>
      </w:r>
      <w:r w:rsidR="00000000" w:rsidRPr="00F46EF2">
        <w:rPr>
          <w:rFonts w:ascii="Times New Roman" w:eastAsia="ＭＳ Ｐ明朝" w:hAnsi="Times New Roman"/>
          <w:sz w:val="20"/>
          <w:szCs w:val="21"/>
          <w:lang w:eastAsia="ja-JP"/>
        </w:rPr>
        <w:t>TLV</w:t>
      </w:r>
      <w:r w:rsidR="00000000" w:rsidRPr="00F46EF2">
        <w:rPr>
          <w:rFonts w:ascii="Times New Roman" w:eastAsia="ＭＳ Ｐ明朝" w:hAnsi="Times New Roman"/>
          <w:sz w:val="20"/>
          <w:szCs w:val="21"/>
          <w:lang w:eastAsia="ja-JP"/>
        </w:rPr>
        <w:t>）、スコットランド（</w:t>
      </w:r>
      <w:r w:rsidR="00000000" w:rsidRPr="00F46EF2">
        <w:rPr>
          <w:rFonts w:ascii="Times New Roman" w:eastAsia="ＭＳ Ｐ明朝" w:hAnsi="Times New Roman"/>
          <w:sz w:val="20"/>
          <w:szCs w:val="21"/>
          <w:lang w:eastAsia="ja-JP"/>
        </w:rPr>
        <w:t>SMC</w:t>
      </w:r>
      <w:r w:rsidR="00000000" w:rsidRPr="00F46EF2">
        <w:rPr>
          <w:rFonts w:ascii="Times New Roman" w:eastAsia="ＭＳ Ｐ明朝" w:hAnsi="Times New Roman"/>
          <w:sz w:val="20"/>
          <w:szCs w:val="21"/>
          <w:lang w:eastAsia="ja-JP"/>
        </w:rPr>
        <w:t>）、カナダ（</w:t>
      </w:r>
      <w:r w:rsidR="00000000" w:rsidRPr="00F46EF2">
        <w:rPr>
          <w:rFonts w:ascii="Times New Roman" w:eastAsia="ＭＳ Ｐ明朝" w:hAnsi="Times New Roman"/>
          <w:sz w:val="20"/>
          <w:szCs w:val="21"/>
          <w:lang w:eastAsia="ja-JP"/>
        </w:rPr>
        <w:t>CADTH</w:t>
      </w:r>
      <w:r w:rsidR="00000000" w:rsidRPr="00F46EF2">
        <w:rPr>
          <w:rFonts w:ascii="Times New Roman" w:eastAsia="ＭＳ Ｐ明朝" w:hAnsi="Times New Roman"/>
          <w:sz w:val="20"/>
          <w:szCs w:val="21"/>
          <w:lang w:eastAsia="ja-JP"/>
        </w:rPr>
        <w:t>）、ニュージーランド（</w:t>
      </w:r>
      <w:r w:rsidR="00000000" w:rsidRPr="00F46EF2">
        <w:rPr>
          <w:rFonts w:ascii="Times New Roman" w:eastAsia="ＭＳ Ｐ明朝" w:hAnsi="Times New Roman"/>
          <w:sz w:val="20"/>
          <w:szCs w:val="21"/>
          <w:lang w:eastAsia="ja-JP"/>
        </w:rPr>
        <w:t>PHARMAC</w:t>
      </w:r>
      <w:r w:rsidR="00000000" w:rsidRPr="00F46EF2">
        <w:rPr>
          <w:rFonts w:ascii="Times New Roman" w:eastAsia="ＭＳ Ｐ明朝" w:hAnsi="Times New Roman"/>
          <w:sz w:val="20"/>
          <w:szCs w:val="21"/>
          <w:lang w:eastAsia="ja-JP"/>
        </w:rPr>
        <w:t>）、シンガポール（</w:t>
      </w:r>
      <w:r w:rsidR="00000000" w:rsidRPr="00F46EF2">
        <w:rPr>
          <w:rFonts w:ascii="Times New Roman" w:eastAsia="ＭＳ Ｐ明朝" w:hAnsi="Times New Roman"/>
          <w:sz w:val="20"/>
          <w:szCs w:val="21"/>
          <w:lang w:eastAsia="ja-JP"/>
        </w:rPr>
        <w:t>ACE</w:t>
      </w:r>
      <w:r w:rsidR="00000000" w:rsidRPr="00F46EF2">
        <w:rPr>
          <w:rFonts w:ascii="Times New Roman" w:eastAsia="ＭＳ Ｐ明朝" w:hAnsi="Times New Roman"/>
          <w:sz w:val="20"/>
          <w:szCs w:val="21"/>
          <w:lang w:eastAsia="ja-JP"/>
        </w:rPr>
        <w:t>）、ノルウェー（</w:t>
      </w:r>
      <w:r w:rsidR="00000000" w:rsidRPr="00F46EF2">
        <w:rPr>
          <w:rFonts w:ascii="Times New Roman" w:eastAsia="ＭＳ Ｐ明朝" w:hAnsi="Times New Roman"/>
          <w:sz w:val="20"/>
          <w:szCs w:val="21"/>
          <w:lang w:eastAsia="ja-JP"/>
        </w:rPr>
        <w:t>NoMA</w:t>
      </w:r>
      <w:r w:rsidR="00000000" w:rsidRPr="00F46EF2">
        <w:rPr>
          <w:rFonts w:ascii="Times New Roman" w:eastAsia="ＭＳ Ｐ明朝" w:hAnsi="Times New Roman"/>
          <w:sz w:val="20"/>
          <w:szCs w:val="21"/>
          <w:lang w:eastAsia="ja-JP"/>
        </w:rPr>
        <w:t>）、ベルギー（</w:t>
      </w:r>
      <w:r w:rsidR="00000000" w:rsidRPr="00F46EF2">
        <w:rPr>
          <w:rFonts w:ascii="Times New Roman" w:eastAsia="ＭＳ Ｐ明朝" w:hAnsi="Times New Roman"/>
          <w:sz w:val="20"/>
          <w:szCs w:val="21"/>
          <w:lang w:eastAsia="ja-JP"/>
        </w:rPr>
        <w:t>KCE</w:t>
      </w:r>
      <w:r w:rsidR="00000000" w:rsidRPr="00F46EF2">
        <w:rPr>
          <w:rFonts w:ascii="Times New Roman" w:eastAsia="ＭＳ Ｐ明朝" w:hAnsi="Times New Roman"/>
          <w:sz w:val="20"/>
          <w:szCs w:val="21"/>
          <w:lang w:eastAsia="ja-JP"/>
        </w:rPr>
        <w:t>）、日本（</w:t>
      </w:r>
      <w:r w:rsidR="00000000" w:rsidRPr="00F46EF2">
        <w:rPr>
          <w:rFonts w:ascii="Times New Roman" w:eastAsia="ＭＳ Ｐ明朝" w:hAnsi="Times New Roman"/>
          <w:sz w:val="20"/>
          <w:szCs w:val="21"/>
          <w:lang w:eastAsia="ja-JP"/>
        </w:rPr>
        <w:t>C2H</w:t>
      </w:r>
      <w:r w:rsidR="00000000"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）。これらの機関は一様に、</w:t>
      </w:r>
      <w:r w:rsidR="005C35E2" w:rsidRPr="00F46EF2">
        <w:rPr>
          <w:rFonts w:ascii="Times New Roman" w:eastAsia="ＭＳ Ｐ明朝" w:hAnsi="Times New Roman"/>
          <w:sz w:val="20"/>
          <w:szCs w:val="21"/>
          <w:lang w:eastAsia="ja-JP"/>
        </w:rPr>
        <w:t>特に家族への影響が大きい場合や、介入が家族や介護者など他者の</w:t>
      </w:r>
      <w:r w:rsidR="005C35E2" w:rsidRPr="00F46EF2">
        <w:rPr>
          <w:rFonts w:ascii="Times New Roman" w:eastAsia="ＭＳ Ｐ明朝" w:hAnsi="Times New Roman"/>
          <w:sz w:val="20"/>
          <w:szCs w:val="21"/>
          <w:lang w:eastAsia="ja-JP"/>
        </w:rPr>
        <w:t xml:space="preserve"> HR-QoL </w:t>
      </w:r>
      <w:proofErr w:type="spellStart"/>
      <w:r w:rsidR="005C35E2" w:rsidRPr="00F46EF2">
        <w:rPr>
          <w:rFonts w:ascii="Times New Roman" w:eastAsia="ＭＳ Ｐ明朝" w:hAnsi="Times New Roman"/>
          <w:sz w:val="20"/>
          <w:szCs w:val="21"/>
          <w:lang w:eastAsia="ja-JP"/>
        </w:rPr>
        <w:t>に測定可能な影響を及ぼす可能性がある場合に、</w:t>
      </w:r>
      <w:r w:rsidRPr="00F46EF2">
        <w:rPr>
          <w:rFonts w:ascii="Times New Roman" w:eastAsia="ＭＳ Ｐ明朝" w:hAnsi="Times New Roman"/>
          <w:sz w:val="20"/>
          <w:szCs w:val="21"/>
          <w:lang w:eastAsia="ja-JP"/>
        </w:rPr>
        <w:t>介護者の</w:t>
      </w:r>
      <w:proofErr w:type="spellEnd"/>
      <w:r w:rsidRPr="00F46EF2">
        <w:rPr>
          <w:rFonts w:ascii="Times New Roman" w:eastAsia="ＭＳ Ｐ明朝" w:hAnsi="Times New Roman"/>
          <w:sz w:val="20"/>
          <w:szCs w:val="21"/>
          <w:lang w:eastAsia="ja-JP"/>
        </w:rPr>
        <w:t xml:space="preserve"> QoL </w:t>
      </w:r>
      <w:proofErr w:type="spellStart"/>
      <w:r w:rsidRPr="00F46EF2">
        <w:rPr>
          <w:rFonts w:ascii="Times New Roman" w:eastAsia="ＭＳ Ｐ明朝" w:hAnsi="Times New Roman"/>
          <w:sz w:val="20"/>
          <w:szCs w:val="21"/>
          <w:lang w:eastAsia="ja-JP"/>
        </w:rPr>
        <w:t>への影響を含めることを強調しているが、スウェーデンの</w:t>
      </w:r>
      <w:proofErr w:type="spellEnd"/>
      <w:r w:rsidRPr="00F46EF2">
        <w:rPr>
          <w:rFonts w:ascii="Times New Roman" w:eastAsia="ＭＳ Ｐ明朝" w:hAnsi="Times New Roman"/>
          <w:sz w:val="20"/>
          <w:szCs w:val="21"/>
          <w:lang w:eastAsia="ja-JP"/>
        </w:rPr>
        <w:t xml:space="preserve"> TLV </w:t>
      </w:r>
      <w:proofErr w:type="spellStart"/>
      <w:r w:rsidRPr="00F46EF2">
        <w:rPr>
          <w:rFonts w:ascii="Times New Roman" w:eastAsia="ＭＳ Ｐ明朝" w:hAnsi="Times New Roman"/>
          <w:sz w:val="20"/>
          <w:szCs w:val="21"/>
          <w:lang w:eastAsia="ja-JP"/>
        </w:rPr>
        <w:t>だけが</w:t>
      </w:r>
      <w:r w:rsidR="00B427D5" w:rsidRPr="00F46EF2">
        <w:rPr>
          <w:rFonts w:ascii="Times New Roman" w:eastAsia="ＭＳ Ｐ明朝" w:hAnsi="Times New Roman"/>
          <w:sz w:val="20"/>
          <w:szCs w:val="21"/>
          <w:lang w:eastAsia="ja-JP"/>
        </w:rPr>
        <w:t>、介護者の</w:t>
      </w:r>
      <w:proofErr w:type="spellEnd"/>
      <w:r w:rsidR="00B427D5" w:rsidRPr="00F46EF2">
        <w:rPr>
          <w:rFonts w:ascii="Times New Roman" w:eastAsia="ＭＳ Ｐ明朝" w:hAnsi="Times New Roman"/>
          <w:sz w:val="20"/>
          <w:szCs w:val="21"/>
          <w:lang w:eastAsia="ja-JP"/>
        </w:rPr>
        <w:t xml:space="preserve"> QoL </w:t>
      </w:r>
      <w:proofErr w:type="spellStart"/>
      <w:r w:rsidR="00B427D5" w:rsidRPr="00F46EF2">
        <w:rPr>
          <w:rFonts w:ascii="Times New Roman" w:eastAsia="ＭＳ Ｐ明朝" w:hAnsi="Times New Roman"/>
          <w:sz w:val="20"/>
          <w:szCs w:val="21"/>
          <w:lang w:eastAsia="ja-JP"/>
        </w:rPr>
        <w:t>を経済</w:t>
      </w:r>
      <w:r w:rsidRPr="00F46EF2">
        <w:rPr>
          <w:rFonts w:ascii="Times New Roman" w:eastAsia="ＭＳ Ｐ明朝" w:hAnsi="Times New Roman"/>
          <w:sz w:val="20"/>
          <w:szCs w:val="21"/>
          <w:lang w:eastAsia="ja-JP"/>
        </w:rPr>
        <w:t>評価に</w:t>
      </w:r>
      <w:r w:rsidR="00B427D5" w:rsidRPr="00F46EF2">
        <w:rPr>
          <w:rFonts w:ascii="Times New Roman" w:eastAsia="ＭＳ Ｐ明朝" w:hAnsi="Times New Roman"/>
          <w:sz w:val="20"/>
          <w:szCs w:val="21"/>
          <w:lang w:eastAsia="ja-JP"/>
        </w:rPr>
        <w:t>含める</w:t>
      </w:r>
      <w:r w:rsidRPr="00F46EF2">
        <w:rPr>
          <w:rFonts w:ascii="Times New Roman" w:eastAsia="ＭＳ Ｐ明朝" w:hAnsi="Times New Roman"/>
          <w:sz w:val="20"/>
          <w:szCs w:val="21"/>
          <w:lang w:eastAsia="ja-JP"/>
        </w:rPr>
        <w:t>方法について明確に論じている。他の機関では、その実施方法に関する追加情報は提供されていない</w:t>
      </w:r>
      <w:proofErr w:type="spellEnd"/>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3189027F" w14:textId="77777777" w:rsidR="00FF745D" w:rsidRPr="00F46EF2" w:rsidRDefault="00B427D5">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のための</w:t>
      </w:r>
      <w:r w:rsidR="00574797" w:rsidRPr="00F46EF2">
        <w:rPr>
          <w:rFonts w:ascii="Times New Roman" w:eastAsia="ＭＳ Ｐ明朝" w:hAnsi="Times New Roman"/>
          <w:sz w:val="20"/>
          <w:szCs w:val="21"/>
          <w:lang w:eastAsia="ja-JP"/>
        </w:rPr>
        <w:t>経済評価にセクター間の費用と便益をどのように組み入れるべきかを</w:t>
      </w:r>
      <w:r w:rsidR="00000000" w:rsidRPr="00F46EF2">
        <w:rPr>
          <w:rFonts w:ascii="Times New Roman" w:eastAsia="ＭＳ Ｐ明朝" w:hAnsi="Times New Roman"/>
          <w:sz w:val="20"/>
          <w:szCs w:val="21"/>
          <w:lang w:eastAsia="ja-JP"/>
        </w:rPr>
        <w:t>説明しているのは、</w:t>
      </w:r>
      <w:r w:rsidR="00000000" w:rsidRPr="00F46EF2">
        <w:rPr>
          <w:rFonts w:ascii="Times New Roman" w:eastAsia="ＭＳ Ｐ明朝" w:hAnsi="Times New Roman"/>
          <w:sz w:val="20"/>
          <w:szCs w:val="21"/>
          <w:lang w:eastAsia="ja-JP"/>
        </w:rPr>
        <w:t>3</w:t>
      </w:r>
      <w:r w:rsidR="00000000" w:rsidRPr="00F46EF2">
        <w:rPr>
          <w:rFonts w:ascii="Times New Roman" w:eastAsia="ＭＳ Ｐ明朝" w:hAnsi="Times New Roman"/>
          <w:sz w:val="20"/>
          <w:szCs w:val="21"/>
          <w:lang w:eastAsia="ja-JP"/>
        </w:rPr>
        <w:t>つの国（カナダ（</w:t>
      </w:r>
      <w:r w:rsidR="00000000" w:rsidRPr="00F46EF2">
        <w:rPr>
          <w:rFonts w:ascii="Times New Roman" w:eastAsia="ＭＳ Ｐ明朝" w:hAnsi="Times New Roman"/>
          <w:sz w:val="20"/>
          <w:szCs w:val="21"/>
          <w:lang w:eastAsia="ja-JP"/>
        </w:rPr>
        <w:t>CADTH</w:t>
      </w:r>
      <w:r w:rsidR="00000000" w:rsidRPr="00F46EF2">
        <w:rPr>
          <w:rFonts w:ascii="Times New Roman" w:eastAsia="ＭＳ Ｐ明朝" w:hAnsi="Times New Roman"/>
          <w:sz w:val="20"/>
          <w:szCs w:val="21"/>
          <w:lang w:eastAsia="ja-JP"/>
        </w:rPr>
        <w:t>）、オランダ（</w:t>
      </w:r>
      <w:r w:rsidR="00000000" w:rsidRPr="00F46EF2">
        <w:rPr>
          <w:rFonts w:ascii="Times New Roman" w:eastAsia="ＭＳ Ｐ明朝" w:hAnsi="Times New Roman"/>
          <w:sz w:val="20"/>
          <w:szCs w:val="21"/>
          <w:lang w:eastAsia="ja-JP"/>
        </w:rPr>
        <w:t>ZIN</w:t>
      </w:r>
      <w:r w:rsidR="00000000" w:rsidRPr="00F46EF2">
        <w:rPr>
          <w:rFonts w:ascii="Times New Roman" w:eastAsia="ＭＳ Ｐ明朝" w:hAnsi="Times New Roman"/>
          <w:sz w:val="20"/>
          <w:szCs w:val="21"/>
          <w:lang w:eastAsia="ja-JP"/>
        </w:rPr>
        <w:t>）、韓国（</w:t>
      </w:r>
      <w:r w:rsidR="00000000" w:rsidRPr="00F46EF2">
        <w:rPr>
          <w:rFonts w:ascii="Times New Roman" w:eastAsia="ＭＳ Ｐ明朝" w:hAnsi="Times New Roman"/>
          <w:sz w:val="20"/>
          <w:szCs w:val="21"/>
          <w:lang w:eastAsia="ja-JP"/>
        </w:rPr>
        <w:t>HIRA</w:t>
      </w:r>
      <w:r w:rsidR="00000000" w:rsidRPr="00F46EF2">
        <w:rPr>
          <w:rFonts w:ascii="Times New Roman" w:eastAsia="ＭＳ Ｐ明朝" w:hAnsi="Times New Roman"/>
          <w:sz w:val="20"/>
          <w:szCs w:val="21"/>
          <w:lang w:eastAsia="ja-JP"/>
        </w:rPr>
        <w:t>））のみである</w:t>
      </w:r>
      <w:r w:rsidR="00574797" w:rsidRPr="00F46EF2">
        <w:rPr>
          <w:rFonts w:ascii="Times New Roman" w:eastAsia="ＭＳ Ｐ明朝" w:hAnsi="Times New Roman"/>
          <w:sz w:val="20"/>
          <w:szCs w:val="21"/>
          <w:lang w:eastAsia="ja-JP"/>
        </w:rPr>
        <w:t>。</w:t>
      </w:r>
      <w:r w:rsidR="00574797" w:rsidRPr="00F46EF2">
        <w:rPr>
          <w:rFonts w:ascii="Times New Roman" w:eastAsia="ＭＳ Ｐ明朝" w:hAnsi="Times New Roman"/>
          <w:sz w:val="20"/>
          <w:szCs w:val="21"/>
          <w:lang w:eastAsia="ja-JP"/>
        </w:rPr>
        <w:t>PHARMAC</w:t>
      </w:r>
      <w:r w:rsidR="00574797" w:rsidRPr="00F46EF2">
        <w:rPr>
          <w:rFonts w:ascii="Times New Roman" w:eastAsia="ＭＳ Ｐ明朝" w:hAnsi="Times New Roman"/>
          <w:sz w:val="20"/>
          <w:szCs w:val="21"/>
          <w:lang w:eastAsia="ja-JP"/>
        </w:rPr>
        <w:t>はそのガイドラインの中で、医薬品の資金調達の決定により</w:t>
      </w:r>
      <w:r w:rsidRPr="00F46EF2">
        <w:rPr>
          <w:rFonts w:ascii="Times New Roman" w:eastAsia="ＭＳ Ｐ明朝" w:hAnsi="Times New Roman"/>
          <w:sz w:val="20"/>
          <w:szCs w:val="21"/>
          <w:lang w:eastAsia="ja-JP"/>
        </w:rPr>
        <w:t>生じる</w:t>
      </w:r>
      <w:r w:rsidR="00574797" w:rsidRPr="00F46EF2">
        <w:rPr>
          <w:rFonts w:ascii="Times New Roman" w:eastAsia="ＭＳ Ｐ明朝" w:hAnsi="Times New Roman"/>
          <w:sz w:val="20"/>
          <w:szCs w:val="21"/>
          <w:lang w:eastAsia="ja-JP"/>
        </w:rPr>
        <w:t>他の非医療行政部門に対す</w:t>
      </w:r>
      <w:r w:rsidR="00574797" w:rsidRPr="00F46EF2">
        <w:rPr>
          <w:rFonts w:ascii="Times New Roman" w:eastAsia="ＭＳ Ｐ明朝" w:hAnsi="Times New Roman"/>
          <w:sz w:val="20"/>
          <w:szCs w:val="21"/>
          <w:lang w:eastAsia="ja-JP"/>
        </w:rPr>
        <w:t xml:space="preserve"> </w:t>
      </w:r>
      <w:proofErr w:type="spellStart"/>
      <w:r w:rsidR="00574797" w:rsidRPr="00F46EF2">
        <w:rPr>
          <w:rFonts w:ascii="Times New Roman" w:eastAsia="ＭＳ Ｐ明朝" w:hAnsi="Times New Roman"/>
          <w:sz w:val="20"/>
          <w:szCs w:val="21"/>
          <w:lang w:eastAsia="ja-JP"/>
        </w:rPr>
        <w:t>るコストは含めるべきでないと述べているが、重要であれば考慮してもよい。しかし、重要であれば考慮してもよい</w:t>
      </w:r>
      <w:proofErr w:type="spellEnd"/>
      <w:r w:rsidR="00574797" w:rsidRPr="00F46EF2">
        <w:rPr>
          <w:rFonts w:ascii="Times New Roman" w:eastAsia="ＭＳ Ｐ明朝" w:hAnsi="Times New Roman"/>
          <w:sz w:val="20"/>
          <w:szCs w:val="21"/>
          <w:lang w:eastAsia="ja-JP"/>
        </w:rPr>
        <w:t>。</w:t>
      </w:r>
      <w:r w:rsidR="00574797" w:rsidRPr="00F46EF2">
        <w:rPr>
          <w:rFonts w:ascii="Times New Roman" w:eastAsia="ＭＳ Ｐ明朝" w:hAnsi="Times New Roman"/>
          <w:sz w:val="20"/>
          <w:szCs w:val="21"/>
          <w:lang w:eastAsia="ja-JP"/>
        </w:rPr>
        <w:t xml:space="preserve"> </w:t>
      </w:r>
    </w:p>
    <w:p w14:paraId="703189B1"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ほとんどの医療機関は、補足的な分析において健康以外の利益と害の重要性を認めているが、健康への直接的な影響以外の意味をリファレンスケースに組み込んでいるところはほとんどない。このことは、大多数の</w:t>
      </w:r>
      <w:r w:rsidR="0064555B" w:rsidRPr="00F46EF2">
        <w:rPr>
          <w:rFonts w:ascii="Times New Roman" w:eastAsia="ＭＳ Ｐ明朝" w:hAnsi="Times New Roman"/>
          <w:sz w:val="20"/>
          <w:szCs w:val="21"/>
          <w:lang w:eastAsia="ja-JP"/>
        </w:rPr>
        <w:t>管轄区域において、</w:t>
      </w:r>
      <w:r w:rsidRPr="00F46EF2">
        <w:rPr>
          <w:rFonts w:ascii="Times New Roman" w:eastAsia="ＭＳ Ｐ明朝" w:hAnsi="Times New Roman"/>
          <w:sz w:val="20"/>
          <w:szCs w:val="21"/>
          <w:lang w:eastAsia="ja-JP"/>
        </w:rPr>
        <w:t>償還決定に</w:t>
      </w:r>
      <w:r w:rsidR="00B427D5" w:rsidRPr="00F46EF2">
        <w:rPr>
          <w:rFonts w:ascii="Times New Roman" w:eastAsia="ＭＳ Ｐ明朝" w:hAnsi="Times New Roman"/>
          <w:sz w:val="20"/>
          <w:szCs w:val="21"/>
          <w:lang w:eastAsia="ja-JP"/>
        </w:rPr>
        <w:t>影響を与える</w:t>
      </w:r>
      <w:r w:rsidRPr="00F46EF2">
        <w:rPr>
          <w:rFonts w:ascii="Times New Roman" w:eastAsia="ＭＳ Ｐ明朝" w:hAnsi="Times New Roman"/>
          <w:sz w:val="20"/>
          <w:szCs w:val="21"/>
          <w:lang w:eastAsia="ja-JP"/>
        </w:rPr>
        <w:t>重要な要因は、依然として健康上の結果であることを示唆している。</w:t>
      </w:r>
    </w:p>
    <w:p w14:paraId="377C370C"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オーストラリアの</w:t>
      </w:r>
      <w:r w:rsidR="00257B41" w:rsidRPr="00F46EF2">
        <w:rPr>
          <w:rFonts w:ascii="Times New Roman" w:eastAsia="ＭＳ Ｐ明朝" w:hAnsi="Times New Roman"/>
          <w:sz w:val="20"/>
          <w:szCs w:val="21"/>
          <w:lang w:eastAsia="ja-JP"/>
        </w:rPr>
        <w:t>PBAC</w:t>
      </w:r>
      <w:r w:rsidR="00257B41" w:rsidRPr="00F46EF2">
        <w:rPr>
          <w:rFonts w:ascii="Times New Roman" w:eastAsia="ＭＳ Ｐ明朝" w:hAnsi="Times New Roman"/>
          <w:sz w:val="20"/>
          <w:szCs w:val="21"/>
          <w:lang w:eastAsia="ja-JP"/>
        </w:rPr>
        <w:t>と</w:t>
      </w:r>
      <w:r w:rsidR="00257B41"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ガイドラインは、このような間接的で非健康的なベネフィットとハームを考慮するという点で、世界の</w:t>
      </w:r>
      <w:r w:rsidR="00E311B0" w:rsidRPr="00F46EF2">
        <w:rPr>
          <w:rFonts w:ascii="Times New Roman" w:eastAsia="ＭＳ Ｐ明朝" w:hAnsi="Times New Roman"/>
          <w:sz w:val="20"/>
          <w:szCs w:val="21"/>
          <w:lang w:eastAsia="ja-JP"/>
        </w:rPr>
        <w:t>ガイドラインと類似している</w:t>
      </w:r>
      <w:r w:rsidRPr="00F46EF2">
        <w:rPr>
          <w:rFonts w:ascii="Times New Roman" w:eastAsia="ＭＳ Ｐ明朝" w:hAnsi="Times New Roman"/>
          <w:sz w:val="20"/>
          <w:szCs w:val="21"/>
          <w:lang w:eastAsia="ja-JP"/>
        </w:rPr>
        <w:t>。これらのアウトカムはレファレンスケースでは考慮されていないが、ガイドラインは、評価や申請における</w:t>
      </w:r>
      <w:r w:rsidR="00D42234" w:rsidRPr="00F46EF2">
        <w:rPr>
          <w:rFonts w:ascii="Times New Roman" w:eastAsia="ＭＳ Ｐ明朝" w:hAnsi="Times New Roman"/>
          <w:sz w:val="20"/>
          <w:szCs w:val="21"/>
          <w:lang w:eastAsia="ja-JP"/>
        </w:rPr>
        <w:t>補足</w:t>
      </w:r>
      <w:r w:rsidRPr="00F46EF2">
        <w:rPr>
          <w:rFonts w:ascii="Times New Roman" w:eastAsia="ＭＳ Ｐ明朝" w:hAnsi="Times New Roman"/>
          <w:sz w:val="20"/>
          <w:szCs w:val="21"/>
          <w:lang w:eastAsia="ja-JP"/>
        </w:rPr>
        <w:t>分析において、これらの</w:t>
      </w:r>
      <w:r w:rsidR="00D42234" w:rsidRPr="00F46EF2">
        <w:rPr>
          <w:rFonts w:ascii="Times New Roman" w:eastAsia="ＭＳ Ｐ明朝" w:hAnsi="Times New Roman"/>
          <w:sz w:val="20"/>
          <w:szCs w:val="21"/>
          <w:lang w:eastAsia="ja-JP"/>
        </w:rPr>
        <w:t>アウトカムを</w:t>
      </w:r>
      <w:r w:rsidRPr="00F46EF2">
        <w:rPr>
          <w:rFonts w:ascii="Times New Roman" w:eastAsia="ＭＳ Ｐ明朝" w:hAnsi="Times New Roman"/>
          <w:sz w:val="20"/>
          <w:szCs w:val="21"/>
          <w:lang w:eastAsia="ja-JP"/>
        </w:rPr>
        <w:t>提示することを</w:t>
      </w:r>
      <w:r w:rsidR="00D42234" w:rsidRPr="00F46EF2">
        <w:rPr>
          <w:rFonts w:ascii="Times New Roman" w:eastAsia="ＭＳ Ｐ明朝" w:hAnsi="Times New Roman"/>
          <w:sz w:val="20"/>
          <w:szCs w:val="21"/>
          <w:lang w:eastAsia="ja-JP"/>
        </w:rPr>
        <w:t>支持している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3358A8FE" w14:textId="77777777" w:rsidR="00FF745D" w:rsidRPr="00F46EF2" w:rsidRDefault="00000000">
      <w:pPr>
        <w:pStyle w:val="NbrHeading3"/>
        <w:rPr>
          <w:rFonts w:ascii="Times New Roman" w:eastAsia="ＭＳ Ｐ明朝" w:hAnsi="Times New Roman"/>
          <w:sz w:val="20"/>
          <w:szCs w:val="21"/>
          <w:lang w:eastAsia="ja-JP"/>
        </w:rPr>
      </w:pPr>
      <w:bookmarkStart w:id="21" w:name="_Toc161997083"/>
      <w:proofErr w:type="spellStart"/>
      <w:r w:rsidRPr="00F46EF2">
        <w:rPr>
          <w:rFonts w:ascii="Times New Roman" w:eastAsia="ＭＳ Ｐ明朝" w:hAnsi="Times New Roman"/>
          <w:sz w:val="20"/>
          <w:szCs w:val="21"/>
          <w:lang w:eastAsia="ja-JP"/>
        </w:rPr>
        <w:lastRenderedPageBreak/>
        <w:t>新薬が</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に掲載されることによる福祉への影響</w:t>
      </w:r>
      <w:bookmarkEnd w:id="21"/>
      <w:proofErr w:type="spellEnd"/>
    </w:p>
    <w:p w14:paraId="6B57E5BF"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オーストラリアの</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制度では、新薬の上市が社会福祉に与える全体的な影響を決定する関連価格は</w:t>
      </w:r>
      <w:r w:rsidRPr="00F46EF2">
        <w:rPr>
          <w:rFonts w:ascii="Times New Roman" w:eastAsia="ＭＳ Ｐ明朝" w:hAnsi="Times New Roman"/>
          <w:sz w:val="20"/>
          <w:szCs w:val="21"/>
          <w:lang w:eastAsia="ja-JP"/>
        </w:rPr>
        <w:t>2</w:t>
      </w:r>
      <w:r w:rsidRPr="00F46EF2">
        <w:rPr>
          <w:rFonts w:ascii="Times New Roman" w:eastAsia="ＭＳ Ｐ明朝" w:hAnsi="Times New Roman"/>
          <w:sz w:val="20"/>
          <w:szCs w:val="21"/>
          <w:lang w:eastAsia="ja-JP"/>
        </w:rPr>
        <w:t>つある。</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つは、医薬品のスポンサーと政府との間で合意される価格であり、もう</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つは、消費者が支払う価格（または自己負担額、ここでは規制価格と呼ぶ）である。オーストラリアでは、セーフティネットの取り決めに従い、</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段階の自己負担がある（一般的な自己負担、譲歩的な自己負担、セーフティネットのしきい値に達した後のゼロ自己負担）。</w:t>
      </w:r>
      <w:r w:rsidRPr="00F46EF2">
        <w:rPr>
          <w:rFonts w:ascii="Times New Roman" w:eastAsia="ＭＳ Ｐ明朝" w:hAnsi="Times New Roman"/>
          <w:sz w:val="20"/>
          <w:szCs w:val="21"/>
          <w:lang w:eastAsia="ja-JP"/>
        </w:rPr>
        <w:t xml:space="preserve">  </w:t>
      </w:r>
    </w:p>
    <w:p w14:paraId="2615C98C"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医薬品が</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に収載される前に、</w:t>
      </w:r>
      <w:r w:rsidRPr="00F46EF2">
        <w:rPr>
          <w:rFonts w:ascii="Times New Roman" w:eastAsia="ＭＳ Ｐ明朝" w:hAnsi="Times New Roman"/>
          <w:sz w:val="20"/>
          <w:szCs w:val="21"/>
          <w:lang w:eastAsia="ja-JP"/>
        </w:rPr>
        <w:t>TGA</w:t>
      </w:r>
      <w:r w:rsidRPr="00F46EF2">
        <w:rPr>
          <w:rFonts w:ascii="Times New Roman" w:eastAsia="ＭＳ Ｐ明朝" w:hAnsi="Times New Roman"/>
          <w:sz w:val="20"/>
          <w:szCs w:val="21"/>
          <w:lang w:eastAsia="ja-JP"/>
        </w:rPr>
        <w:t>によって販売が承認されていれば、民間市場を通じてその医薬品に対するある程度の需要があるかもしれないが、健康改善やその他のイノベーション（投与方法の利便性など）を提供するほとんどの新薬の場合、民間市場での価格は法外に高い傾向があるため、民間処方を通じてその医薬品を入手できる消費者はほとんどいないことになる。その結果、民間市場での販売による収入、つまりスポンサーの利益は相対的に小さくなる。</w:t>
      </w:r>
      <w:r w:rsidRPr="00F46EF2">
        <w:rPr>
          <w:rFonts w:ascii="Times New Roman" w:eastAsia="ＭＳ Ｐ明朝" w:hAnsi="Times New Roman"/>
          <w:sz w:val="20"/>
          <w:szCs w:val="21"/>
          <w:lang w:eastAsia="ja-JP"/>
        </w:rPr>
        <w:t xml:space="preserve"> </w:t>
      </w:r>
    </w:p>
    <w:p w14:paraId="2CE1CEC3"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医薬品が</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への上場を承認された後は、合意された価格、規制価格での需要、</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勧告によって設定された制限によって収益が決定される。</w:t>
      </w:r>
      <w:r w:rsidRPr="00F46EF2">
        <w:rPr>
          <w:rFonts w:ascii="Times New Roman" w:eastAsia="ＭＳ Ｐ明朝" w:hAnsi="Times New Roman"/>
          <w:sz w:val="20"/>
          <w:szCs w:val="21"/>
          <w:lang w:eastAsia="ja-JP"/>
        </w:rPr>
        <w:t xml:space="preserve">  </w:t>
      </w:r>
    </w:p>
    <w:p w14:paraId="6DC5CC94"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つまり、</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に医薬品が収載されることで、自己負担額で医薬品を入手できる患者の厚生が増加する（経済学用語では、これが消費者余剰の増加である）。また、製品のスポンサーにとっては、収入（したがって利益）が増加する。この収益は、合意された価格と、規制された価格で購入／処方された数量によって決定される。これは、スポンサーにとっての厚生利得（経済用語では生産者余剰の増加）に相当する。</w:t>
      </w:r>
      <w:r w:rsidRPr="00F46EF2">
        <w:rPr>
          <w:rFonts w:ascii="Times New Roman" w:eastAsia="ＭＳ Ｐ明朝" w:hAnsi="Times New Roman"/>
          <w:sz w:val="20"/>
          <w:szCs w:val="21"/>
          <w:lang w:eastAsia="ja-JP"/>
        </w:rPr>
        <w:t xml:space="preserve"> </w:t>
      </w:r>
    </w:p>
    <w:p w14:paraId="58463D61" w14:textId="3F00E968"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このような消費者と生産者の厚生上の利益は、政府、ひいてはオーストラリアの納税者の負担となる。福祉効果の最終的な配分は、合意された価格によって決定されるが、福祉上の利益は、新薬にアクセスできる消費者と、関連する販売から利益を得るスポンサーとの間で共有され、コストは政府（納税者）が負担することに留意することが重要である。新薬の上市による厚生利益の分布を図</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に示す。</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Pr="00F46EF2">
        <w:rPr>
          <w:rFonts w:ascii="Times New Roman" w:eastAsia="ＭＳ Ｐ明朝" w:hAnsi="Times New Roman"/>
          <w:sz w:val="20"/>
          <w:szCs w:val="21"/>
          <w:lang w:eastAsia="ja-JP"/>
        </w:rPr>
        <w:instrText xml:space="preserve"> REF _Ref153805660 \h </w:instrText>
      </w:r>
      <w:r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lang w:eastAsia="ja-JP"/>
        </w:rPr>
        <w:t>図</w:t>
      </w:r>
      <w:r w:rsidR="00356B5C" w:rsidRPr="00F46EF2">
        <w:rPr>
          <w:rFonts w:ascii="Times New Roman" w:eastAsia="ＭＳ Ｐ明朝" w:hAnsi="Times New Roman"/>
          <w:noProof/>
          <w:sz w:val="20"/>
          <w:szCs w:val="21"/>
          <w:lang w:eastAsia="ja-JP"/>
        </w:rPr>
        <w:t>1</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
    <w:p w14:paraId="2939DE16" w14:textId="77777777" w:rsidR="00156C9E" w:rsidRDefault="00156C9E" w:rsidP="00156C9E">
      <w:pPr>
        <w:pStyle w:val="af8"/>
      </w:pPr>
      <w:bookmarkStart w:id="22" w:name="_Ref153805660"/>
      <w:r>
        <w:lastRenderedPageBreak/>
        <w:t xml:space="preserve">Figure </w:t>
      </w:r>
      <w:r>
        <w:fldChar w:fldCharType="begin"/>
      </w:r>
      <w:r>
        <w:instrText xml:space="preserve"> SEQ Figure \* ARABIC </w:instrText>
      </w:r>
      <w:r>
        <w:fldChar w:fldCharType="separate"/>
      </w:r>
      <w:r>
        <w:rPr>
          <w:noProof/>
        </w:rPr>
        <w:t>1</w:t>
      </w:r>
      <w:r>
        <w:rPr>
          <w:noProof/>
        </w:rPr>
        <w:fldChar w:fldCharType="end"/>
      </w:r>
      <w:bookmarkEnd w:id="22"/>
      <w:r>
        <w:tab/>
      </w:r>
      <w:r w:rsidRPr="00EB275F">
        <w:t>Distribution of welfare impacts from a new drug listing</w:t>
      </w:r>
    </w:p>
    <w:p w14:paraId="33761AD5" w14:textId="77777777" w:rsidR="00A42AC4" w:rsidRPr="00F46EF2" w:rsidRDefault="00A42AC4" w:rsidP="00A42AC4">
      <w:pPr>
        <w:rPr>
          <w:rFonts w:ascii="Times New Roman" w:eastAsia="ＭＳ Ｐ明朝" w:hAnsi="Times New Roman" w:cs="Times New Roman"/>
          <w:sz w:val="14"/>
          <w:szCs w:val="20"/>
        </w:rPr>
      </w:pPr>
      <w:r w:rsidRPr="00F46EF2">
        <w:rPr>
          <w:rFonts w:ascii="Times New Roman" w:eastAsia="ＭＳ Ｐ明朝" w:hAnsi="Times New Roman" w:cs="Times New Roman"/>
          <w:noProof/>
          <w:sz w:val="14"/>
          <w:szCs w:val="20"/>
        </w:rPr>
        <w:drawing>
          <wp:inline distT="0" distB="0" distL="0" distR="0" wp14:anchorId="33B14387" wp14:editId="32786FB4">
            <wp:extent cx="5242588" cy="3027871"/>
            <wp:effectExtent l="0" t="0" r="0" b="1270"/>
            <wp:docPr id="522981830" name="Picture 522981830" descr="Figure 1 is a graph showing the distribution of welfare impacts from a new drug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1830" name="Picture 522981830" descr="Figure 1 is a graph showing the distribution of welfare impacts from a new drug lis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738" cy="3029690"/>
                    </a:xfrm>
                    <a:prstGeom prst="rect">
                      <a:avLst/>
                    </a:prstGeom>
                    <a:noFill/>
                    <a:ln>
                      <a:noFill/>
                    </a:ln>
                  </pic:spPr>
                </pic:pic>
              </a:graphicData>
            </a:graphic>
          </wp:inline>
        </w:drawing>
      </w:r>
    </w:p>
    <w:p w14:paraId="54F03545"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21"/>
          <w:lang w:eastAsia="ja-JP"/>
        </w:rPr>
      </w:pPr>
      <w:r w:rsidRPr="00156C9E">
        <w:rPr>
          <w:rFonts w:ascii="Times New Roman" w:eastAsia="ＭＳ Ｐ明朝" w:hAnsi="Times New Roman" w:cs="Times New Roman"/>
          <w:sz w:val="18"/>
          <w:szCs w:val="21"/>
          <w:lang w:eastAsia="ja-JP"/>
        </w:rPr>
        <w:t xml:space="preserve">MC = </w:t>
      </w:r>
      <w:r w:rsidRPr="00156C9E">
        <w:rPr>
          <w:rFonts w:ascii="Times New Roman" w:eastAsia="ＭＳ Ｐ明朝" w:hAnsi="Times New Roman" w:cs="Times New Roman"/>
          <w:sz w:val="18"/>
          <w:szCs w:val="21"/>
          <w:lang w:eastAsia="ja-JP"/>
        </w:rPr>
        <w:t>限界費用、</w:t>
      </w:r>
      <w:proofErr w:type="spellStart"/>
      <w:r w:rsidRPr="00156C9E">
        <w:rPr>
          <w:rFonts w:ascii="Times New Roman" w:eastAsia="ＭＳ Ｐ明朝" w:hAnsi="Times New Roman" w:cs="Times New Roman"/>
          <w:sz w:val="18"/>
          <w:szCs w:val="21"/>
          <w:vertAlign w:val="subscript"/>
          <w:lang w:eastAsia="ja-JP"/>
        </w:rPr>
        <w:t>Prequest</w:t>
      </w:r>
      <w:proofErr w:type="spellEnd"/>
      <w:r w:rsidRPr="00156C9E">
        <w:rPr>
          <w:rFonts w:ascii="Times New Roman" w:eastAsia="ＭＳ Ｐ明朝" w:hAnsi="Times New Roman" w:cs="Times New Roman"/>
          <w:sz w:val="18"/>
          <w:szCs w:val="21"/>
          <w:vertAlign w:val="subscript"/>
          <w:lang w:eastAsia="ja-JP"/>
        </w:rPr>
        <w:t xml:space="preserve"> </w:t>
      </w:r>
      <w:r w:rsidRPr="00156C9E">
        <w:rPr>
          <w:rFonts w:ascii="Times New Roman" w:eastAsia="ＭＳ Ｐ明朝" w:hAnsi="Times New Roman" w:cs="Times New Roman"/>
          <w:sz w:val="18"/>
          <w:szCs w:val="21"/>
          <w:lang w:eastAsia="ja-JP"/>
        </w:rPr>
        <w:t xml:space="preserve">= </w:t>
      </w:r>
      <w:r w:rsidRPr="00156C9E">
        <w:rPr>
          <w:rFonts w:ascii="Times New Roman" w:eastAsia="ＭＳ Ｐ明朝" w:hAnsi="Times New Roman" w:cs="Times New Roman"/>
          <w:sz w:val="18"/>
          <w:szCs w:val="21"/>
          <w:lang w:eastAsia="ja-JP"/>
        </w:rPr>
        <w:t>スポンサーが要求する価格、</w:t>
      </w:r>
      <w:proofErr w:type="spellStart"/>
      <w:r w:rsidRPr="00156C9E">
        <w:rPr>
          <w:rFonts w:ascii="Times New Roman" w:eastAsia="ＭＳ Ｐ明朝" w:hAnsi="Times New Roman" w:cs="Times New Roman"/>
          <w:sz w:val="18"/>
          <w:szCs w:val="21"/>
          <w:vertAlign w:val="subscript"/>
          <w:lang w:eastAsia="ja-JP"/>
        </w:rPr>
        <w:t>Pagreed</w:t>
      </w:r>
      <w:proofErr w:type="spellEnd"/>
      <w:r w:rsidRPr="00156C9E">
        <w:rPr>
          <w:rFonts w:ascii="Times New Roman" w:eastAsia="ＭＳ Ｐ明朝" w:hAnsi="Times New Roman" w:cs="Times New Roman"/>
          <w:sz w:val="18"/>
          <w:szCs w:val="21"/>
          <w:vertAlign w:val="subscript"/>
          <w:lang w:eastAsia="ja-JP"/>
        </w:rPr>
        <w:t xml:space="preserve"> </w:t>
      </w:r>
      <w:r w:rsidRPr="00156C9E">
        <w:rPr>
          <w:rFonts w:ascii="Times New Roman" w:eastAsia="ＭＳ Ｐ明朝" w:hAnsi="Times New Roman" w:cs="Times New Roman"/>
          <w:sz w:val="18"/>
          <w:szCs w:val="21"/>
          <w:lang w:eastAsia="ja-JP"/>
        </w:rPr>
        <w:t xml:space="preserve">= </w:t>
      </w:r>
      <w:r w:rsidRPr="00156C9E">
        <w:rPr>
          <w:rFonts w:ascii="Times New Roman" w:eastAsia="ＭＳ Ｐ明朝" w:hAnsi="Times New Roman" w:cs="Times New Roman"/>
          <w:sz w:val="18"/>
          <w:szCs w:val="21"/>
          <w:lang w:eastAsia="ja-JP"/>
        </w:rPr>
        <w:t>政府とスポンサーの間で合意された価格、</w:t>
      </w:r>
      <w:r w:rsidRPr="00156C9E">
        <w:rPr>
          <w:rFonts w:ascii="Times New Roman" w:eastAsia="ＭＳ Ｐ明朝" w:hAnsi="Times New Roman" w:cs="Times New Roman"/>
          <w:sz w:val="18"/>
          <w:szCs w:val="21"/>
          <w:lang w:eastAsia="ja-JP"/>
        </w:rPr>
        <w:t>P</w:t>
      </w:r>
      <w:r w:rsidRPr="00156C9E">
        <w:rPr>
          <w:rFonts w:ascii="Times New Roman" w:eastAsia="ＭＳ Ｐ明朝" w:hAnsi="Times New Roman" w:cs="Times New Roman"/>
          <w:sz w:val="18"/>
          <w:szCs w:val="21"/>
          <w:vertAlign w:val="subscript"/>
          <w:lang w:eastAsia="ja-JP"/>
        </w:rPr>
        <w:t>reg</w:t>
      </w:r>
      <w:r w:rsidRPr="00156C9E">
        <w:rPr>
          <w:rFonts w:ascii="Times New Roman" w:eastAsia="ＭＳ Ｐ明朝" w:hAnsi="Times New Roman" w:cs="Times New Roman"/>
          <w:sz w:val="18"/>
          <w:szCs w:val="21"/>
          <w:lang w:eastAsia="ja-JP"/>
        </w:rPr>
        <w:t xml:space="preserve"> = </w:t>
      </w:r>
      <w:r w:rsidRPr="00156C9E">
        <w:rPr>
          <w:rFonts w:ascii="Times New Roman" w:eastAsia="ＭＳ Ｐ明朝" w:hAnsi="Times New Roman" w:cs="Times New Roman"/>
          <w:sz w:val="18"/>
          <w:szCs w:val="21"/>
          <w:lang w:eastAsia="ja-JP"/>
        </w:rPr>
        <w:t>共済金。</w:t>
      </w:r>
      <w:r w:rsidRPr="00156C9E">
        <w:rPr>
          <w:rFonts w:ascii="Times New Roman" w:eastAsia="ＭＳ Ｐ明朝" w:hAnsi="Times New Roman" w:cs="Times New Roman"/>
          <w:sz w:val="18"/>
          <w:szCs w:val="21"/>
          <w:lang w:eastAsia="ja-JP"/>
        </w:rPr>
        <w:t xml:space="preserve"> </w:t>
      </w:r>
    </w:p>
    <w:p w14:paraId="1E387461"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21"/>
          <w:lang w:eastAsia="ja-JP"/>
        </w:rPr>
      </w:pPr>
      <w:r w:rsidRPr="00156C9E">
        <w:rPr>
          <w:rFonts w:ascii="Times New Roman" w:eastAsia="ＭＳ Ｐ明朝" w:hAnsi="Times New Roman" w:cs="Times New Roman"/>
          <w:sz w:val="18"/>
          <w:szCs w:val="21"/>
          <w:lang w:eastAsia="ja-JP"/>
        </w:rPr>
        <w:t>この例での限界費用は一定であり、あくまでも目安である。</w:t>
      </w:r>
      <w:r w:rsidRPr="00156C9E">
        <w:rPr>
          <w:rFonts w:ascii="Times New Roman" w:eastAsia="ＭＳ Ｐ明朝" w:hAnsi="Times New Roman" w:cs="Times New Roman"/>
          <w:sz w:val="18"/>
          <w:szCs w:val="21"/>
          <w:lang w:eastAsia="ja-JP"/>
        </w:rPr>
        <w:t xml:space="preserve">  </w:t>
      </w:r>
    </w:p>
    <w:p w14:paraId="716E605F" w14:textId="77777777" w:rsidR="00156C9E" w:rsidRDefault="00156C9E">
      <w:pPr>
        <w:pStyle w:val="a3"/>
        <w:rPr>
          <w:rFonts w:ascii="Times New Roman" w:eastAsia="ＭＳ Ｐ明朝" w:hAnsi="Times New Roman"/>
          <w:sz w:val="20"/>
          <w:szCs w:val="21"/>
          <w:lang w:eastAsia="ja-JP"/>
        </w:rPr>
      </w:pPr>
    </w:p>
    <w:p w14:paraId="76D57EAF" w14:textId="263F9CC8"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適切な合意価格を決定するための新薬市場の情報は限られている。健康上の利益は、しばしば</w:t>
      </w:r>
      <w:r w:rsidRPr="00F46EF2">
        <w:rPr>
          <w:rFonts w:ascii="Times New Roman" w:eastAsia="ＭＳ Ｐ明朝" w:hAnsi="Times New Roman"/>
          <w:sz w:val="20"/>
          <w:szCs w:val="21"/>
          <w:lang w:eastAsia="ja-JP"/>
        </w:rPr>
        <w:t>QALYs</w:t>
      </w:r>
      <w:r w:rsidRPr="00F46EF2">
        <w:rPr>
          <w:rFonts w:ascii="Times New Roman" w:eastAsia="ＭＳ Ｐ明朝" w:hAnsi="Times New Roman"/>
          <w:sz w:val="20"/>
          <w:szCs w:val="21"/>
          <w:lang w:eastAsia="ja-JP"/>
        </w:rPr>
        <w:t>の増加として見積もられるが、</w:t>
      </w:r>
      <w:r w:rsidRPr="00F46EF2">
        <w:rPr>
          <w:rFonts w:ascii="Times New Roman" w:eastAsia="ＭＳ Ｐ明朝" w:hAnsi="Times New Roman"/>
          <w:sz w:val="20"/>
          <w:szCs w:val="21"/>
          <w:lang w:eastAsia="ja-JP"/>
        </w:rPr>
        <w:t>QALYs</w:t>
      </w:r>
      <w:r w:rsidRPr="00F46EF2">
        <w:rPr>
          <w:rFonts w:ascii="Times New Roman" w:eastAsia="ＭＳ Ｐ明朝" w:hAnsi="Times New Roman"/>
          <w:sz w:val="20"/>
          <w:szCs w:val="21"/>
          <w:lang w:eastAsia="ja-JP"/>
        </w:rPr>
        <w:t>の増加の価値についての実際の市場見積もりは不可能である。</w:t>
      </w:r>
      <w:r w:rsidRPr="00F46EF2">
        <w:rPr>
          <w:rFonts w:ascii="Times New Roman" w:eastAsia="ＭＳ Ｐ明朝" w:hAnsi="Times New Roman"/>
          <w:sz w:val="20"/>
          <w:szCs w:val="21"/>
          <w:lang w:eastAsia="ja-JP"/>
        </w:rPr>
        <w:t xml:space="preserve"> </w:t>
      </w:r>
    </w:p>
    <w:p w14:paraId="7769EA6B"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利便性のような他の便益については、この便益に対する消費者の支払い意思を推定するために、言明嗜好（</w:t>
      </w:r>
      <w:r w:rsidRPr="00F46EF2">
        <w:rPr>
          <w:rFonts w:ascii="Times New Roman" w:eastAsia="ＭＳ Ｐ明朝" w:hAnsi="Times New Roman"/>
          <w:sz w:val="20"/>
          <w:szCs w:val="21"/>
          <w:lang w:eastAsia="ja-JP"/>
        </w:rPr>
        <w:t>stated</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preference</w:t>
      </w:r>
      <w:r w:rsidRPr="00F46EF2">
        <w:rPr>
          <w:rFonts w:ascii="Times New Roman" w:eastAsia="ＭＳ Ｐ明朝" w:hAnsi="Times New Roman"/>
          <w:sz w:val="20"/>
          <w:szCs w:val="21"/>
          <w:lang w:eastAsia="ja-JP"/>
        </w:rPr>
        <w:t>）の方法を用いることが考えられる</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しかし、このような利便性の値を引き出す場合、その推定値は、利便性という点で関連する便益を持つ医薬品を利用できることに関連する消費者余剰の総価値を表す。</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したがって、この推定値が政府とスポンサーの間で合意された価格を決定するために使用された場合、事実上、新薬の上市による福祉的便益のすべてがスポンサーに割り当てられることになり（そして、これらの福祉的便益の費用はすべて納税者が負担することになる）、この勧告によるオーストラリア国民への正味の福祉的利益はないことになる。</w:t>
      </w:r>
      <w:r w:rsidRPr="00F46EF2">
        <w:rPr>
          <w:rFonts w:ascii="Times New Roman" w:eastAsia="ＭＳ Ｐ明朝" w:hAnsi="Times New Roman"/>
          <w:sz w:val="20"/>
          <w:szCs w:val="21"/>
          <w:lang w:eastAsia="ja-JP"/>
        </w:rPr>
        <w:t xml:space="preserve">  </w:t>
      </w:r>
    </w:p>
    <w:p w14:paraId="35530BF9"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例えば、新薬にアクセスする全消費者の追加給付に対する推定平均</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が</w:t>
      </w:r>
      <w:r w:rsidRPr="00F46EF2">
        <w:rPr>
          <w:rFonts w:ascii="Times New Roman" w:eastAsia="ＭＳ Ｐ明朝" w:hAnsi="Times New Roman"/>
          <w:sz w:val="20"/>
          <w:szCs w:val="21"/>
          <w:lang w:eastAsia="ja-JP"/>
        </w:rPr>
        <w:t>$x</w:t>
      </w:r>
      <w:r w:rsidRPr="00F46EF2">
        <w:rPr>
          <w:rFonts w:ascii="Times New Roman" w:eastAsia="ＭＳ Ｐ明朝" w:hAnsi="Times New Roman"/>
          <w:sz w:val="20"/>
          <w:szCs w:val="21"/>
          <w:lang w:eastAsia="ja-JP"/>
        </w:rPr>
        <w:t>であり、これを用いて比較対象に対する価格上昇を</w:t>
      </w:r>
      <w:r w:rsidRPr="00F46EF2">
        <w:rPr>
          <w:rFonts w:ascii="Times New Roman" w:eastAsia="ＭＳ Ｐ明朝" w:hAnsi="Times New Roman"/>
          <w:sz w:val="20"/>
          <w:szCs w:val="21"/>
          <w:lang w:eastAsia="ja-JP"/>
        </w:rPr>
        <w:t>$x</w:t>
      </w:r>
      <w:r w:rsidRPr="00F46EF2">
        <w:rPr>
          <w:rFonts w:ascii="Times New Roman" w:eastAsia="ＭＳ Ｐ明朝" w:hAnsi="Times New Roman"/>
          <w:sz w:val="20"/>
          <w:szCs w:val="21"/>
          <w:lang w:eastAsia="ja-JP"/>
        </w:rPr>
        <w:t>と設定するとする。ある消費者は</w:t>
      </w:r>
      <w:r w:rsidRPr="00F46EF2">
        <w:rPr>
          <w:rFonts w:ascii="Times New Roman" w:eastAsia="ＭＳ Ｐ明朝" w:hAnsi="Times New Roman"/>
          <w:sz w:val="20"/>
          <w:szCs w:val="21"/>
          <w:lang w:eastAsia="ja-JP"/>
        </w:rPr>
        <w:t>$x</w:t>
      </w:r>
      <w:r w:rsidRPr="00F46EF2">
        <w:rPr>
          <w:rFonts w:ascii="Times New Roman" w:eastAsia="ＭＳ Ｐ明朝" w:hAnsi="Times New Roman"/>
          <w:sz w:val="20"/>
          <w:szCs w:val="21"/>
          <w:lang w:eastAsia="ja-JP"/>
        </w:rPr>
        <w:t>より高い</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を持ち、ある消費者は</w:t>
      </w:r>
      <w:r w:rsidRPr="00F46EF2">
        <w:rPr>
          <w:rFonts w:ascii="Times New Roman" w:eastAsia="ＭＳ Ｐ明朝" w:hAnsi="Times New Roman"/>
          <w:sz w:val="20"/>
          <w:szCs w:val="21"/>
          <w:lang w:eastAsia="ja-JP"/>
        </w:rPr>
        <w:t>$x</w:t>
      </w:r>
      <w:r w:rsidRPr="00F46EF2">
        <w:rPr>
          <w:rFonts w:ascii="Times New Roman" w:eastAsia="ＭＳ Ｐ明朝" w:hAnsi="Times New Roman"/>
          <w:sz w:val="20"/>
          <w:szCs w:val="21"/>
          <w:lang w:eastAsia="ja-JP"/>
        </w:rPr>
        <w:t>より低い</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を持つが、政府はすべての処方箋に対して</w:t>
      </w:r>
      <w:r w:rsidRPr="00F46EF2">
        <w:rPr>
          <w:rFonts w:ascii="Times New Roman" w:eastAsia="ＭＳ Ｐ明朝" w:hAnsi="Times New Roman"/>
          <w:sz w:val="20"/>
          <w:szCs w:val="21"/>
          <w:lang w:eastAsia="ja-JP"/>
        </w:rPr>
        <w:t>$x</w:t>
      </w:r>
      <w:r w:rsidRPr="00F46EF2">
        <w:rPr>
          <w:rFonts w:ascii="Times New Roman" w:eastAsia="ＭＳ Ｐ明朝" w:hAnsi="Times New Roman"/>
          <w:sz w:val="20"/>
          <w:szCs w:val="21"/>
          <w:lang w:eastAsia="ja-JP"/>
        </w:rPr>
        <w:t>を追加で支払うことに注意することが重要である（規制価格（自己負担額）より高い</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を持つすべての消費者が新薬にアクセスする可能性が高いことに注意）。このような消費者にはまだ厚生上の利益があるが、それは政府（納税者）の追加費用より少ないため、全体として</w:t>
      </w:r>
      <w:r w:rsidRPr="00F46EF2">
        <w:rPr>
          <w:rFonts w:ascii="Times New Roman" w:eastAsia="ＭＳ Ｐ明朝" w:hAnsi="Times New Roman"/>
          <w:sz w:val="20"/>
          <w:szCs w:val="21"/>
          <w:lang w:eastAsia="ja-JP"/>
        </w:rPr>
        <w:lastRenderedPageBreak/>
        <w:t>は厚生上の損失となる。さらに、</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が高い消費者は支払い能力も高い可能性があるため、彼らの</w:t>
      </w:r>
      <w:r w:rsidRPr="00F46EF2">
        <w:rPr>
          <w:rFonts w:ascii="Times New Roman" w:eastAsia="ＭＳ Ｐ明朝" w:hAnsi="Times New Roman"/>
          <w:sz w:val="20"/>
          <w:szCs w:val="21"/>
          <w:lang w:eastAsia="ja-JP"/>
        </w:rPr>
        <w:t>WTP</w:t>
      </w:r>
      <w:r w:rsidRPr="00F46EF2">
        <w:rPr>
          <w:rFonts w:ascii="Times New Roman" w:eastAsia="ＭＳ Ｐ明朝" w:hAnsi="Times New Roman"/>
          <w:sz w:val="20"/>
          <w:szCs w:val="21"/>
          <w:lang w:eastAsia="ja-JP"/>
        </w:rPr>
        <w:t>を推計の一部として使用すると不公平感が増す可能性があることに注意することが重要である。このような理由から、合意された価格が患者にとっての福祉的便益の一部を反映することは合理的であるが、これらの便益をすべて捕捉してしまうと、消費者余剰のすべてをスポンサーに移転することになり、政府（納税者）に関連するコストが発生し、不公平感が増大する可能性がある。</w:t>
      </w:r>
      <w:r w:rsidRPr="00F46EF2">
        <w:rPr>
          <w:rFonts w:ascii="Times New Roman" w:eastAsia="ＭＳ Ｐ明朝" w:hAnsi="Times New Roman"/>
          <w:sz w:val="20"/>
          <w:szCs w:val="21"/>
          <w:lang w:eastAsia="ja-JP"/>
        </w:rPr>
        <w:t xml:space="preserve">  </w:t>
      </w:r>
    </w:p>
    <w:p w14:paraId="4DFF2819" w14:textId="77777777" w:rsidR="00FF745D" w:rsidRPr="00F46EF2" w:rsidRDefault="00000000">
      <w:pPr>
        <w:pStyle w:val="NbrHeading3"/>
        <w:rPr>
          <w:rFonts w:ascii="Times New Roman" w:eastAsia="ＭＳ Ｐ明朝" w:hAnsi="Times New Roman"/>
          <w:sz w:val="20"/>
          <w:szCs w:val="21"/>
          <w:lang w:eastAsia="ja-JP"/>
        </w:rPr>
      </w:pPr>
      <w:bookmarkStart w:id="23" w:name="_Toc161997084"/>
      <w:proofErr w:type="spellStart"/>
      <w:r w:rsidRPr="00F46EF2">
        <w:rPr>
          <w:rFonts w:ascii="Times New Roman" w:eastAsia="ＭＳ Ｐ明朝" w:hAnsi="Times New Roman"/>
          <w:sz w:val="20"/>
          <w:szCs w:val="21"/>
          <w:lang w:eastAsia="ja-JP"/>
        </w:rPr>
        <w:t>オーストラリアと国際的な外挿と割引</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CHERE</w:t>
      </w:r>
      <w:r w:rsidRPr="00F46EF2">
        <w:rPr>
          <w:rFonts w:ascii="Times New Roman" w:eastAsia="ＭＳ Ｐ明朝" w:hAnsi="Times New Roman"/>
          <w:sz w:val="20"/>
          <w:szCs w:val="21"/>
          <w:lang w:eastAsia="ja-JP"/>
        </w:rPr>
        <w:t>割引率レビューペーパ</w:t>
      </w:r>
      <w:proofErr w:type="spellEnd"/>
      <w:r w:rsidRPr="00F46EF2">
        <w:rPr>
          <w:rFonts w:ascii="Times New Roman" w:eastAsia="ＭＳ Ｐ明朝" w:hAnsi="Times New Roman"/>
          <w:sz w:val="20"/>
          <w:szCs w:val="21"/>
          <w:lang w:eastAsia="ja-JP"/>
        </w:rPr>
        <w:t>ー）</w:t>
      </w:r>
      <w:bookmarkEnd w:id="23"/>
    </w:p>
    <w:p w14:paraId="50B21C5A"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外挿の必要性は、費用対効果のモデルベースの評価を構築するために使用される臨床試験エビデンスが、介入が実際に使用された場合にコストとアウトカムが発生する可能性のある予想される時間軸を反映していない場合に生じる。多くの機関が、経済評価の文脈における医療上の便益と費用の外挿の重要性を認識している。これらの機関のいくつかは、明確な手法の推奨を提示しており、イングランドと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）の</w:t>
      </w:r>
      <w:r w:rsidRPr="00F46EF2">
        <w:rPr>
          <w:rFonts w:ascii="Times New Roman" w:eastAsia="ＭＳ Ｐ明朝" w:hAnsi="Times New Roman"/>
          <w:sz w:val="20"/>
          <w:szCs w:val="21"/>
          <w:lang w:eastAsia="ja-JP"/>
        </w:rPr>
        <w:t>TSD 14</w:t>
      </w:r>
      <w:r w:rsidRPr="00F46EF2">
        <w:rPr>
          <w:rFonts w:ascii="Times New Roman" w:eastAsia="ＭＳ Ｐ明朝" w:hAnsi="Times New Roman"/>
          <w:sz w:val="20"/>
          <w:szCs w:val="21"/>
          <w:lang w:eastAsia="ja-JP"/>
        </w:rPr>
        <w:t>は、外挿手順を導くための重要な参考文献となっている（</w:t>
      </w:r>
      <w:r w:rsidRPr="00F46EF2">
        <w:rPr>
          <w:rFonts w:ascii="Times New Roman" w:eastAsia="ＭＳ Ｐ明朝" w:hAnsi="Times New Roman"/>
          <w:sz w:val="20"/>
          <w:szCs w:val="21"/>
          <w:lang w:eastAsia="ja-JP"/>
        </w:rPr>
        <w:t>Latimer 2011</w:t>
      </w:r>
      <w:r w:rsidRPr="00F46EF2">
        <w:rPr>
          <w:rFonts w:ascii="Times New Roman" w:eastAsia="ＭＳ Ｐ明朝" w:hAnsi="Times New Roman"/>
          <w:sz w:val="20"/>
          <w:szCs w:val="21"/>
          <w:lang w:eastAsia="ja-JP"/>
        </w:rPr>
        <w:t>）。</w:t>
      </w:r>
    </w:p>
    <w:p w14:paraId="5BF6774B" w14:textId="2106FEAB" w:rsidR="00FF745D" w:rsidRPr="00F46EF2" w:rsidRDefault="00257B41">
      <w:pPr>
        <w:pStyle w:val="a3"/>
        <w:rPr>
          <w:rFonts w:ascii="Times New Roman" w:eastAsia="ＭＳ Ｐ明朝" w:hAnsi="Times New Roman"/>
          <w:sz w:val="20"/>
          <w:szCs w:val="21"/>
        </w:rPr>
      </w:pPr>
      <w:r w:rsidRPr="00F46EF2">
        <w:rPr>
          <w:rFonts w:ascii="Times New Roman" w:eastAsia="ＭＳ Ｐ明朝" w:hAnsi="Times New Roman"/>
          <w:sz w:val="20"/>
          <w:szCs w:val="21"/>
          <w:lang w:eastAsia="ja-JP"/>
        </w:rPr>
        <w:t>時間から事象までのデータを</w:t>
      </w:r>
      <w:r w:rsidR="00000000" w:rsidRPr="00F46EF2">
        <w:rPr>
          <w:rFonts w:ascii="Times New Roman" w:eastAsia="ＭＳ Ｐ明朝" w:hAnsi="Times New Roman"/>
          <w:sz w:val="20"/>
          <w:szCs w:val="21"/>
          <w:lang w:eastAsia="ja-JP"/>
        </w:rPr>
        <w:t>外挿し、参考</w:t>
      </w:r>
      <w:r w:rsidR="0064555B" w:rsidRPr="00F46EF2">
        <w:rPr>
          <w:rFonts w:ascii="Times New Roman" w:eastAsia="ＭＳ Ｐ明朝" w:hAnsi="Times New Roman"/>
          <w:sz w:val="20"/>
          <w:szCs w:val="21"/>
          <w:lang w:eastAsia="ja-JP"/>
        </w:rPr>
        <w:t>法域の</w:t>
      </w:r>
      <w:r w:rsidR="00000000" w:rsidRPr="00F46EF2">
        <w:rPr>
          <w:rFonts w:ascii="Times New Roman" w:eastAsia="ＭＳ Ｐ明朝" w:hAnsi="Times New Roman"/>
          <w:sz w:val="20"/>
          <w:szCs w:val="21"/>
          <w:lang w:eastAsia="ja-JP"/>
        </w:rPr>
        <w:t>ガイドラインで議論されている健康アウトカムを割り引くために使用される方法とプロセスの包括的な要約を以下に示す。</w:t>
      </w:r>
      <w:r w:rsidR="00000000"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Pr="00F46EF2">
        <w:rPr>
          <w:rFonts w:ascii="Times New Roman" w:eastAsia="ＭＳ Ｐ明朝" w:hAnsi="Times New Roman"/>
          <w:sz w:val="20"/>
          <w:szCs w:val="21"/>
          <w:lang w:eastAsia="ja-JP"/>
        </w:rPr>
        <w:instrText xml:space="preserve"> REF _Ref146374914 \h </w:instrText>
      </w:r>
      <w:r w:rsidRPr="00F46EF2">
        <w:rPr>
          <w:rFonts w:ascii="Times New Roman" w:eastAsia="ＭＳ Ｐ明朝" w:hAnsi="Times New Roman"/>
          <w:sz w:val="20"/>
          <w:szCs w:val="21"/>
        </w:rPr>
      </w:r>
      <w:r w:rsidR="00F46EF2" w:rsidRPr="00F46EF2">
        <w:rPr>
          <w:rFonts w:ascii="Times New Roman" w:eastAsia="ＭＳ Ｐ明朝" w:hAnsi="Times New Roman"/>
          <w:sz w:val="20"/>
          <w:szCs w:val="21"/>
        </w:rPr>
        <w:instrText xml:space="preserve"> \* MERGEFORMAT </w:instrText>
      </w:r>
      <w:r w:rsidRPr="00F46EF2">
        <w:rPr>
          <w:rFonts w:ascii="Times New Roman" w:eastAsia="ＭＳ Ｐ明朝" w:hAnsi="Times New Roman"/>
          <w:sz w:val="20"/>
          <w:szCs w:val="21"/>
        </w:rPr>
        <w:fldChar w:fldCharType="separate"/>
      </w:r>
      <w:r w:rsidR="00356B5C" w:rsidRPr="00F46EF2">
        <w:rPr>
          <w:rFonts w:ascii="Times New Roman" w:eastAsia="ＭＳ Ｐ明朝" w:hAnsi="Times New Roman"/>
          <w:sz w:val="20"/>
          <w:szCs w:val="21"/>
        </w:rPr>
        <w:t>表</w:t>
      </w:r>
      <w:r w:rsidR="00356B5C" w:rsidRPr="00F46EF2">
        <w:rPr>
          <w:rFonts w:ascii="Times New Roman" w:eastAsia="ＭＳ Ｐ明朝" w:hAnsi="Times New Roman"/>
          <w:noProof/>
          <w:sz w:val="20"/>
          <w:szCs w:val="21"/>
        </w:rPr>
        <w:t>8</w:t>
      </w:r>
      <w:r w:rsidRPr="00F46EF2">
        <w:rPr>
          <w:rFonts w:ascii="Times New Roman" w:eastAsia="ＭＳ Ｐ明朝" w:hAnsi="Times New Roman"/>
          <w:sz w:val="20"/>
          <w:szCs w:val="21"/>
        </w:rPr>
        <w:fldChar w:fldCharType="end"/>
      </w:r>
      <w:r w:rsidR="00000000" w:rsidRPr="00F46EF2">
        <w:rPr>
          <w:rFonts w:ascii="Times New Roman" w:eastAsia="ＭＳ Ｐ明朝" w:hAnsi="Times New Roman"/>
          <w:sz w:val="20"/>
          <w:szCs w:val="21"/>
        </w:rPr>
        <w:t xml:space="preserve">. </w:t>
      </w:r>
    </w:p>
    <w:p w14:paraId="24EB67B3" w14:textId="77777777" w:rsidR="00156C9E" w:rsidRDefault="00156C9E" w:rsidP="00156C9E">
      <w:pPr>
        <w:pStyle w:val="af8"/>
      </w:pPr>
      <w:bookmarkStart w:id="24" w:name="_Ref146374914"/>
      <w:r w:rsidRPr="00D734B9">
        <w:t xml:space="preserve">Table </w:t>
      </w:r>
      <w:r>
        <w:fldChar w:fldCharType="begin"/>
      </w:r>
      <w:r>
        <w:instrText xml:space="preserve"> SEQ Table \* ARABIC </w:instrText>
      </w:r>
      <w:r>
        <w:fldChar w:fldCharType="separate"/>
      </w:r>
      <w:r>
        <w:rPr>
          <w:noProof/>
        </w:rPr>
        <w:t>8</w:t>
      </w:r>
      <w:r>
        <w:rPr>
          <w:noProof/>
        </w:rPr>
        <w:fldChar w:fldCharType="end"/>
      </w:r>
      <w:bookmarkEnd w:id="24"/>
      <w:r w:rsidRPr="00D734B9">
        <w:tab/>
        <w:t>Extrapolation methods recommended across agencies reviewed.</w:t>
      </w:r>
    </w:p>
    <w:tbl>
      <w:tblPr>
        <w:tblStyle w:val="af2"/>
        <w:tblW w:w="5001" w:type="pct"/>
        <w:tblLayout w:type="fixed"/>
        <w:tblLook w:val="04A0" w:firstRow="1" w:lastRow="0" w:firstColumn="1" w:lastColumn="0" w:noHBand="0" w:noVBand="1"/>
        <w:tblCaption w:val="Extrapolation methods recommended across agencies reviewed."/>
      </w:tblPr>
      <w:tblGrid>
        <w:gridCol w:w="1204"/>
        <w:gridCol w:w="1361"/>
        <w:gridCol w:w="4083"/>
        <w:gridCol w:w="2414"/>
      </w:tblGrid>
      <w:tr w:rsidR="00156C9E" w:rsidRPr="00111726" w14:paraId="282A2DD0" w14:textId="77777777" w:rsidTr="00634CA1">
        <w:trPr>
          <w:trHeight w:val="288"/>
          <w:tblHeader/>
        </w:trPr>
        <w:tc>
          <w:tcPr>
            <w:tcW w:w="664" w:type="pct"/>
            <w:vMerge w:val="restart"/>
            <w:noWrap/>
          </w:tcPr>
          <w:p w14:paraId="75F615FD" w14:textId="77777777" w:rsidR="00156C9E" w:rsidRPr="000B6AA4" w:rsidRDefault="00156C9E" w:rsidP="00634CA1">
            <w:pPr>
              <w:rPr>
                <w:b/>
                <w:bCs/>
              </w:rPr>
            </w:pPr>
            <w:r>
              <w:rPr>
                <w:b/>
                <w:bCs/>
              </w:rPr>
              <w:t>Jurisdiction (</w:t>
            </w:r>
            <w:r w:rsidRPr="000B6AA4">
              <w:rPr>
                <w:b/>
                <w:bCs/>
              </w:rPr>
              <w:t>Agency</w:t>
            </w:r>
            <w:r>
              <w:rPr>
                <w:b/>
                <w:bCs/>
              </w:rPr>
              <w:t>)</w:t>
            </w:r>
          </w:p>
        </w:tc>
        <w:tc>
          <w:tcPr>
            <w:tcW w:w="3004" w:type="pct"/>
            <w:gridSpan w:val="2"/>
            <w:noWrap/>
          </w:tcPr>
          <w:p w14:paraId="7CB6948D" w14:textId="77777777" w:rsidR="00156C9E" w:rsidRPr="000B6AA4" w:rsidRDefault="00156C9E" w:rsidP="00634CA1">
            <w:pPr>
              <w:rPr>
                <w:b/>
                <w:bCs/>
              </w:rPr>
            </w:pPr>
            <w:r>
              <w:rPr>
                <w:b/>
                <w:bCs/>
              </w:rPr>
              <w:t>Extrapolation</w:t>
            </w:r>
          </w:p>
        </w:tc>
        <w:tc>
          <w:tcPr>
            <w:tcW w:w="1332" w:type="pct"/>
            <w:tcBorders>
              <w:bottom w:val="nil"/>
            </w:tcBorders>
          </w:tcPr>
          <w:p w14:paraId="036DD8FE" w14:textId="77777777" w:rsidR="00156C9E" w:rsidRDefault="00156C9E" w:rsidP="00634CA1">
            <w:pPr>
              <w:rPr>
                <w:b/>
                <w:bCs/>
              </w:rPr>
            </w:pPr>
          </w:p>
        </w:tc>
      </w:tr>
      <w:tr w:rsidR="00156C9E" w:rsidRPr="00111726" w14:paraId="40D01333" w14:textId="77777777" w:rsidTr="00634CA1">
        <w:trPr>
          <w:trHeight w:val="288"/>
          <w:tblHeader/>
        </w:trPr>
        <w:tc>
          <w:tcPr>
            <w:tcW w:w="664" w:type="pct"/>
            <w:vMerge/>
            <w:noWrap/>
          </w:tcPr>
          <w:p w14:paraId="752C5E79" w14:textId="77777777" w:rsidR="00156C9E" w:rsidRPr="000B6AA4" w:rsidRDefault="00156C9E" w:rsidP="00634CA1">
            <w:pPr>
              <w:rPr>
                <w:b/>
                <w:bCs/>
              </w:rPr>
            </w:pPr>
          </w:p>
        </w:tc>
        <w:tc>
          <w:tcPr>
            <w:tcW w:w="751" w:type="pct"/>
            <w:noWrap/>
          </w:tcPr>
          <w:p w14:paraId="423146F6" w14:textId="77777777" w:rsidR="00156C9E" w:rsidRPr="000B6AA4" w:rsidRDefault="00156C9E" w:rsidP="00634CA1">
            <w:pPr>
              <w:rPr>
                <w:b/>
                <w:bCs/>
              </w:rPr>
            </w:pPr>
            <w:r w:rsidRPr="000B6AA4">
              <w:rPr>
                <w:b/>
                <w:bCs/>
              </w:rPr>
              <w:t>Mentioned in Guidelines</w:t>
            </w:r>
          </w:p>
        </w:tc>
        <w:tc>
          <w:tcPr>
            <w:tcW w:w="2253" w:type="pct"/>
            <w:noWrap/>
          </w:tcPr>
          <w:p w14:paraId="777C20B5" w14:textId="77777777" w:rsidR="00156C9E" w:rsidRPr="000B6AA4" w:rsidRDefault="00156C9E" w:rsidP="00634CA1">
            <w:pPr>
              <w:rPr>
                <w:b/>
                <w:bCs/>
              </w:rPr>
            </w:pPr>
            <w:r w:rsidRPr="000B6AA4">
              <w:rPr>
                <w:b/>
                <w:bCs/>
              </w:rPr>
              <w:t>Method suggested</w:t>
            </w:r>
          </w:p>
        </w:tc>
        <w:tc>
          <w:tcPr>
            <w:tcW w:w="1332" w:type="pct"/>
            <w:tcBorders>
              <w:top w:val="nil"/>
            </w:tcBorders>
          </w:tcPr>
          <w:p w14:paraId="6FFFBBAF" w14:textId="77777777" w:rsidR="00156C9E" w:rsidRPr="000B6AA4" w:rsidRDefault="00156C9E" w:rsidP="00634CA1">
            <w:pPr>
              <w:rPr>
                <w:b/>
                <w:bCs/>
              </w:rPr>
            </w:pPr>
            <w:r>
              <w:rPr>
                <w:b/>
                <w:bCs/>
              </w:rPr>
              <w:t>Discount rate</w:t>
            </w:r>
          </w:p>
        </w:tc>
      </w:tr>
      <w:tr w:rsidR="00156C9E" w:rsidRPr="00111726" w14:paraId="35B9CA2E" w14:textId="77777777" w:rsidTr="00634CA1">
        <w:trPr>
          <w:trHeight w:val="288"/>
        </w:trPr>
        <w:tc>
          <w:tcPr>
            <w:tcW w:w="664" w:type="pct"/>
            <w:noWrap/>
          </w:tcPr>
          <w:p w14:paraId="097D514A" w14:textId="77777777" w:rsidR="00156C9E" w:rsidRPr="000B6AA4" w:rsidRDefault="00156C9E" w:rsidP="00634CA1">
            <w:pPr>
              <w:ind w:left="-82"/>
            </w:pPr>
            <w:r>
              <w:t xml:space="preserve">England and Wales </w:t>
            </w:r>
            <w:r w:rsidRPr="000B6AA4">
              <w:t>(NICE)</w:t>
            </w:r>
          </w:p>
        </w:tc>
        <w:tc>
          <w:tcPr>
            <w:tcW w:w="751" w:type="pct"/>
            <w:noWrap/>
          </w:tcPr>
          <w:p w14:paraId="27A43B7B" w14:textId="77777777" w:rsidR="00156C9E" w:rsidRPr="000B6AA4" w:rsidRDefault="00156C9E" w:rsidP="00634CA1">
            <w:r w:rsidRPr="000B6AA4">
              <w:t>Yes</w:t>
            </w:r>
          </w:p>
        </w:tc>
        <w:tc>
          <w:tcPr>
            <w:tcW w:w="2253" w:type="pct"/>
            <w:noWrap/>
          </w:tcPr>
          <w:p w14:paraId="628AAEFB" w14:textId="77777777" w:rsidR="00156C9E" w:rsidRDefault="00156C9E" w:rsidP="00634CA1">
            <w:r w:rsidRPr="000B6AA4">
              <w:t xml:space="preserve">Fit parametric survival models to the observed </w:t>
            </w:r>
            <w:r>
              <w:t xml:space="preserve">time-to-event </w:t>
            </w:r>
            <w:r w:rsidRPr="000B6AA4">
              <w:t>data (</w:t>
            </w:r>
            <w:r>
              <w:t xml:space="preserve">i.e., </w:t>
            </w:r>
            <w:r w:rsidRPr="000B6AA4">
              <w:t xml:space="preserve">exponential, Weibull, log-logistic, </w:t>
            </w:r>
            <w:r>
              <w:t xml:space="preserve">log-normal, </w:t>
            </w:r>
            <w:r w:rsidRPr="000B6AA4">
              <w:t>gamma, Gompertz).</w:t>
            </w:r>
            <w:r>
              <w:t xml:space="preserve"> </w:t>
            </w:r>
            <w:r w:rsidRPr="000B6AA4">
              <w:t>More flexible extrapolation (e</w:t>
            </w:r>
            <w:r>
              <w:t>.</w:t>
            </w:r>
            <w:r w:rsidRPr="000B6AA4">
              <w:t>g</w:t>
            </w:r>
            <w:r>
              <w:t>.,</w:t>
            </w:r>
            <w:r w:rsidRPr="000B6AA4">
              <w:t xml:space="preserve"> piecewise spline models) if needed.</w:t>
            </w:r>
          </w:p>
          <w:p w14:paraId="7D67B017" w14:textId="77777777" w:rsidR="00156C9E" w:rsidRPr="000B6AA4" w:rsidRDefault="00156C9E" w:rsidP="00634CA1">
            <w:r>
              <w:t xml:space="preserve">Selection of the specific function for the base case analysis and the validation of the selected function. </w:t>
            </w:r>
          </w:p>
        </w:tc>
        <w:tc>
          <w:tcPr>
            <w:tcW w:w="1332" w:type="pct"/>
          </w:tcPr>
          <w:p w14:paraId="0DDB6B8D" w14:textId="77777777" w:rsidR="00156C9E" w:rsidRPr="000B6AA4" w:rsidRDefault="00156C9E" w:rsidP="00634CA1">
            <w:r>
              <w:t>3.5% for cost and benefits.</w:t>
            </w:r>
          </w:p>
        </w:tc>
      </w:tr>
      <w:tr w:rsidR="00156C9E" w:rsidRPr="00111726" w14:paraId="68BF2DA6" w14:textId="77777777" w:rsidTr="00634CA1">
        <w:trPr>
          <w:trHeight w:val="288"/>
        </w:trPr>
        <w:tc>
          <w:tcPr>
            <w:tcW w:w="664" w:type="pct"/>
            <w:noWrap/>
            <w:hideMark/>
          </w:tcPr>
          <w:p w14:paraId="338E04E7" w14:textId="77777777" w:rsidR="00156C9E" w:rsidRPr="000B6AA4" w:rsidRDefault="00156C9E" w:rsidP="00634CA1">
            <w:pPr>
              <w:ind w:left="-82"/>
            </w:pPr>
            <w:r w:rsidRPr="000B6AA4">
              <w:t>Australia (PBAC, MSAC)</w:t>
            </w:r>
          </w:p>
        </w:tc>
        <w:tc>
          <w:tcPr>
            <w:tcW w:w="751" w:type="pct"/>
            <w:noWrap/>
            <w:hideMark/>
          </w:tcPr>
          <w:p w14:paraId="6A5EE29D" w14:textId="77777777" w:rsidR="00156C9E" w:rsidRPr="000B6AA4" w:rsidRDefault="00156C9E" w:rsidP="00634CA1">
            <w:r w:rsidRPr="000B6AA4">
              <w:t>Yes</w:t>
            </w:r>
          </w:p>
        </w:tc>
        <w:tc>
          <w:tcPr>
            <w:tcW w:w="2253" w:type="pct"/>
            <w:noWrap/>
            <w:hideMark/>
          </w:tcPr>
          <w:p w14:paraId="552892ED" w14:textId="77777777" w:rsidR="00156C9E" w:rsidRPr="000B6AA4" w:rsidRDefault="00156C9E" w:rsidP="00634CA1">
            <w:r w:rsidRPr="000B6AA4">
              <w:t xml:space="preserve">As </w:t>
            </w:r>
            <w:r>
              <w:t>England and Wales (NICE)</w:t>
            </w:r>
          </w:p>
        </w:tc>
        <w:tc>
          <w:tcPr>
            <w:tcW w:w="1332" w:type="pct"/>
          </w:tcPr>
          <w:p w14:paraId="10996B89" w14:textId="77777777" w:rsidR="00156C9E" w:rsidRPr="000B6AA4" w:rsidRDefault="00156C9E" w:rsidP="00634CA1">
            <w:r>
              <w:t>5% for cost and benefits.</w:t>
            </w:r>
          </w:p>
        </w:tc>
      </w:tr>
      <w:tr w:rsidR="00156C9E" w:rsidRPr="00111726" w14:paraId="42D53619" w14:textId="77777777" w:rsidTr="00634CA1">
        <w:trPr>
          <w:trHeight w:val="288"/>
        </w:trPr>
        <w:tc>
          <w:tcPr>
            <w:tcW w:w="664" w:type="pct"/>
            <w:noWrap/>
            <w:hideMark/>
          </w:tcPr>
          <w:p w14:paraId="09473311" w14:textId="77777777" w:rsidR="00156C9E" w:rsidRPr="000B6AA4" w:rsidRDefault="00156C9E" w:rsidP="00634CA1">
            <w:pPr>
              <w:ind w:left="-82"/>
            </w:pPr>
            <w:r>
              <w:t xml:space="preserve">Scotland </w:t>
            </w:r>
            <w:r w:rsidRPr="000B6AA4">
              <w:t>(SMC)</w:t>
            </w:r>
          </w:p>
        </w:tc>
        <w:tc>
          <w:tcPr>
            <w:tcW w:w="751" w:type="pct"/>
            <w:noWrap/>
            <w:hideMark/>
          </w:tcPr>
          <w:p w14:paraId="0B7ECD06" w14:textId="77777777" w:rsidR="00156C9E" w:rsidRPr="000B6AA4" w:rsidRDefault="00156C9E" w:rsidP="00634CA1">
            <w:r w:rsidRPr="000B6AA4">
              <w:t>Yes</w:t>
            </w:r>
          </w:p>
        </w:tc>
        <w:tc>
          <w:tcPr>
            <w:tcW w:w="2253" w:type="pct"/>
            <w:noWrap/>
            <w:hideMark/>
          </w:tcPr>
          <w:p w14:paraId="1A8C1B5A" w14:textId="77777777" w:rsidR="00156C9E" w:rsidRPr="000B6AA4" w:rsidRDefault="00156C9E" w:rsidP="00634CA1">
            <w:r w:rsidRPr="000B6AA4">
              <w:t>Not specified</w:t>
            </w:r>
          </w:p>
        </w:tc>
        <w:tc>
          <w:tcPr>
            <w:tcW w:w="1332" w:type="pct"/>
          </w:tcPr>
          <w:p w14:paraId="0C01F9B4" w14:textId="77777777" w:rsidR="00156C9E" w:rsidRPr="000B6AA4" w:rsidRDefault="00156C9E" w:rsidP="00634CA1">
            <w:r>
              <w:t>3.5% for cost and benefits.</w:t>
            </w:r>
          </w:p>
        </w:tc>
      </w:tr>
      <w:tr w:rsidR="00156C9E" w:rsidRPr="00111726" w14:paraId="0049E859" w14:textId="77777777" w:rsidTr="00634CA1">
        <w:trPr>
          <w:trHeight w:val="288"/>
        </w:trPr>
        <w:tc>
          <w:tcPr>
            <w:tcW w:w="664" w:type="pct"/>
            <w:noWrap/>
            <w:hideMark/>
          </w:tcPr>
          <w:p w14:paraId="08893068" w14:textId="77777777" w:rsidR="00156C9E" w:rsidRPr="000B6AA4" w:rsidRDefault="00156C9E" w:rsidP="00634CA1">
            <w:pPr>
              <w:ind w:left="-82"/>
            </w:pPr>
            <w:r w:rsidRPr="000B6AA4">
              <w:t>Canada (CADTH)</w:t>
            </w:r>
          </w:p>
        </w:tc>
        <w:tc>
          <w:tcPr>
            <w:tcW w:w="751" w:type="pct"/>
            <w:noWrap/>
            <w:hideMark/>
          </w:tcPr>
          <w:p w14:paraId="1212B8A9" w14:textId="77777777" w:rsidR="00156C9E" w:rsidRPr="000B6AA4" w:rsidRDefault="00156C9E" w:rsidP="00634CA1">
            <w:r w:rsidRPr="000B6AA4">
              <w:t>Yes</w:t>
            </w:r>
          </w:p>
        </w:tc>
        <w:tc>
          <w:tcPr>
            <w:tcW w:w="2253" w:type="pct"/>
            <w:noWrap/>
            <w:hideMark/>
          </w:tcPr>
          <w:p w14:paraId="7342EBAE" w14:textId="77777777" w:rsidR="00156C9E" w:rsidRPr="000B6AA4" w:rsidRDefault="00156C9E" w:rsidP="00634CA1">
            <w:r w:rsidRPr="000B6AA4">
              <w:t xml:space="preserve">As </w:t>
            </w:r>
            <w:r>
              <w:t>England and Wales (NICE)</w:t>
            </w:r>
          </w:p>
        </w:tc>
        <w:tc>
          <w:tcPr>
            <w:tcW w:w="1332" w:type="pct"/>
          </w:tcPr>
          <w:p w14:paraId="69586C91" w14:textId="77777777" w:rsidR="00156C9E" w:rsidRPr="000B6AA4" w:rsidRDefault="00156C9E" w:rsidP="00634CA1">
            <w:r>
              <w:t>1.5% for cost and benefits.</w:t>
            </w:r>
          </w:p>
        </w:tc>
      </w:tr>
      <w:tr w:rsidR="00156C9E" w:rsidRPr="00111726" w14:paraId="38617677" w14:textId="77777777" w:rsidTr="00634CA1">
        <w:trPr>
          <w:trHeight w:val="288"/>
        </w:trPr>
        <w:tc>
          <w:tcPr>
            <w:tcW w:w="664" w:type="pct"/>
            <w:noWrap/>
            <w:hideMark/>
          </w:tcPr>
          <w:p w14:paraId="2E634080" w14:textId="77777777" w:rsidR="00156C9E" w:rsidRPr="000B6AA4" w:rsidRDefault="00156C9E" w:rsidP="00634CA1">
            <w:pPr>
              <w:ind w:left="-82"/>
            </w:pPr>
            <w:r w:rsidRPr="000B6AA4">
              <w:t>New Zealand (PHARMAC)</w:t>
            </w:r>
          </w:p>
        </w:tc>
        <w:tc>
          <w:tcPr>
            <w:tcW w:w="751" w:type="pct"/>
            <w:noWrap/>
            <w:hideMark/>
          </w:tcPr>
          <w:p w14:paraId="30AE41C0" w14:textId="77777777" w:rsidR="00156C9E" w:rsidRPr="000B6AA4" w:rsidRDefault="00156C9E" w:rsidP="00634CA1">
            <w:r w:rsidRPr="000B6AA4">
              <w:t xml:space="preserve">Yes, </w:t>
            </w:r>
          </w:p>
        </w:tc>
        <w:tc>
          <w:tcPr>
            <w:tcW w:w="2253" w:type="pct"/>
            <w:noWrap/>
            <w:hideMark/>
          </w:tcPr>
          <w:p w14:paraId="281D1D0C" w14:textId="77777777" w:rsidR="00156C9E" w:rsidRPr="000B6AA4" w:rsidRDefault="00156C9E" w:rsidP="00634CA1">
            <w:r>
              <w:t>N</w:t>
            </w:r>
            <w:r w:rsidRPr="000B6AA4">
              <w:t>o methods specified</w:t>
            </w:r>
          </w:p>
        </w:tc>
        <w:tc>
          <w:tcPr>
            <w:tcW w:w="1332" w:type="pct"/>
          </w:tcPr>
          <w:p w14:paraId="7FF014F8" w14:textId="77777777" w:rsidR="00156C9E" w:rsidRDefault="00156C9E" w:rsidP="00634CA1">
            <w:r>
              <w:t>3.5% for cost and benefits.</w:t>
            </w:r>
          </w:p>
        </w:tc>
      </w:tr>
      <w:tr w:rsidR="00156C9E" w:rsidRPr="00111726" w14:paraId="33C15E2B" w14:textId="77777777" w:rsidTr="00634CA1">
        <w:trPr>
          <w:trHeight w:val="288"/>
        </w:trPr>
        <w:tc>
          <w:tcPr>
            <w:tcW w:w="664" w:type="pct"/>
            <w:noWrap/>
            <w:hideMark/>
          </w:tcPr>
          <w:p w14:paraId="0E0A7D30" w14:textId="77777777" w:rsidR="00156C9E" w:rsidRPr="000B6AA4" w:rsidRDefault="00156C9E" w:rsidP="00634CA1">
            <w:pPr>
              <w:ind w:left="-82"/>
            </w:pPr>
            <w:r w:rsidRPr="000B6AA4">
              <w:t xml:space="preserve">France </w:t>
            </w:r>
            <w:r>
              <w:t>(HAS)</w:t>
            </w:r>
          </w:p>
        </w:tc>
        <w:tc>
          <w:tcPr>
            <w:tcW w:w="751" w:type="pct"/>
            <w:noWrap/>
            <w:hideMark/>
          </w:tcPr>
          <w:p w14:paraId="437158A1" w14:textId="77777777" w:rsidR="00156C9E" w:rsidRPr="000B6AA4" w:rsidRDefault="00156C9E" w:rsidP="00634CA1">
            <w:r w:rsidRPr="000B6AA4">
              <w:t>Yes</w:t>
            </w:r>
          </w:p>
        </w:tc>
        <w:tc>
          <w:tcPr>
            <w:tcW w:w="2253" w:type="pct"/>
            <w:noWrap/>
            <w:hideMark/>
          </w:tcPr>
          <w:p w14:paraId="6E61E92F" w14:textId="77777777" w:rsidR="00156C9E" w:rsidRPr="000B6AA4" w:rsidRDefault="00156C9E" w:rsidP="00634CA1">
            <w:r w:rsidRPr="000B6AA4">
              <w:t xml:space="preserve">As </w:t>
            </w:r>
            <w:r>
              <w:t>England and Wales (NICE)</w:t>
            </w:r>
          </w:p>
        </w:tc>
        <w:tc>
          <w:tcPr>
            <w:tcW w:w="1332" w:type="pct"/>
          </w:tcPr>
          <w:p w14:paraId="3D3BA1F7" w14:textId="77777777" w:rsidR="00156C9E" w:rsidRPr="000B6AA4" w:rsidRDefault="00156C9E" w:rsidP="00634CA1">
            <w:r>
              <w:rPr>
                <w:rFonts w:cstheme="minorHAnsi"/>
                <w:szCs w:val="18"/>
              </w:rPr>
              <w:t>2.5</w:t>
            </w:r>
            <w:r w:rsidRPr="0068789B">
              <w:rPr>
                <w:rFonts w:cstheme="minorHAnsi"/>
                <w:szCs w:val="18"/>
              </w:rPr>
              <w:t>% for cost and benefits</w:t>
            </w:r>
            <w:r>
              <w:rPr>
                <w:rFonts w:cstheme="minorHAnsi"/>
                <w:szCs w:val="18"/>
              </w:rPr>
              <w:t xml:space="preserve"> the first 30 years</w:t>
            </w:r>
            <w:r w:rsidRPr="0068789B">
              <w:rPr>
                <w:rFonts w:cstheme="minorHAnsi"/>
                <w:szCs w:val="18"/>
              </w:rPr>
              <w:t>.</w:t>
            </w:r>
            <w:r>
              <w:rPr>
                <w:rFonts w:cstheme="minorHAnsi"/>
                <w:szCs w:val="18"/>
              </w:rPr>
              <w:t xml:space="preserve"> 1.5% for cost and benefits a</w:t>
            </w:r>
            <w:r w:rsidRPr="00C50BA5">
              <w:rPr>
                <w:rFonts w:cstheme="minorHAnsi"/>
                <w:szCs w:val="18"/>
              </w:rPr>
              <w:t>fter 30 years</w:t>
            </w:r>
            <w:r>
              <w:rPr>
                <w:rFonts w:cstheme="minorHAnsi"/>
                <w:szCs w:val="18"/>
              </w:rPr>
              <w:t>.</w:t>
            </w:r>
            <w:r w:rsidRPr="00C50BA5">
              <w:rPr>
                <w:rFonts w:cstheme="minorHAnsi"/>
                <w:szCs w:val="18"/>
              </w:rPr>
              <w:t xml:space="preserve"> </w:t>
            </w:r>
          </w:p>
        </w:tc>
      </w:tr>
      <w:tr w:rsidR="00156C9E" w:rsidRPr="00111726" w14:paraId="7A4891AD" w14:textId="77777777" w:rsidTr="00634CA1">
        <w:trPr>
          <w:trHeight w:val="288"/>
        </w:trPr>
        <w:tc>
          <w:tcPr>
            <w:tcW w:w="664" w:type="pct"/>
            <w:noWrap/>
          </w:tcPr>
          <w:p w14:paraId="1C465E81" w14:textId="77777777" w:rsidR="00156C9E" w:rsidRPr="000B6AA4" w:rsidRDefault="00156C9E" w:rsidP="00634CA1">
            <w:pPr>
              <w:ind w:left="-82"/>
            </w:pPr>
            <w:r>
              <w:t>Germany (</w:t>
            </w:r>
            <w:proofErr w:type="spellStart"/>
            <w:r>
              <w:t>IQWiG</w:t>
            </w:r>
            <w:proofErr w:type="spellEnd"/>
            <w:r>
              <w:t>)</w:t>
            </w:r>
          </w:p>
        </w:tc>
        <w:tc>
          <w:tcPr>
            <w:tcW w:w="751" w:type="pct"/>
            <w:noWrap/>
          </w:tcPr>
          <w:p w14:paraId="52A44E42" w14:textId="77777777" w:rsidR="00156C9E" w:rsidRPr="000B6AA4" w:rsidRDefault="00156C9E" w:rsidP="00634CA1">
            <w:r>
              <w:t>No</w:t>
            </w:r>
          </w:p>
        </w:tc>
        <w:tc>
          <w:tcPr>
            <w:tcW w:w="2253" w:type="pct"/>
            <w:noWrap/>
          </w:tcPr>
          <w:p w14:paraId="045B1A30" w14:textId="77777777" w:rsidR="00156C9E" w:rsidRPr="000B6AA4" w:rsidRDefault="00156C9E" w:rsidP="00634CA1">
            <w:r w:rsidRPr="000B6AA4">
              <w:t>Not specified</w:t>
            </w:r>
          </w:p>
        </w:tc>
        <w:tc>
          <w:tcPr>
            <w:tcW w:w="1332" w:type="pct"/>
          </w:tcPr>
          <w:p w14:paraId="36085F9B" w14:textId="77777777" w:rsidR="00156C9E" w:rsidRPr="000B6AA4" w:rsidDel="002F1F8E" w:rsidRDefault="00156C9E" w:rsidP="00634CA1">
            <w:r w:rsidRPr="0068789B">
              <w:rPr>
                <w:rFonts w:cstheme="minorHAnsi"/>
                <w:szCs w:val="18"/>
              </w:rPr>
              <w:t>3% for cost and benefits.</w:t>
            </w:r>
          </w:p>
        </w:tc>
      </w:tr>
      <w:tr w:rsidR="00156C9E" w:rsidRPr="00111726" w14:paraId="21871E39" w14:textId="77777777" w:rsidTr="00634CA1">
        <w:trPr>
          <w:trHeight w:val="288"/>
        </w:trPr>
        <w:tc>
          <w:tcPr>
            <w:tcW w:w="664" w:type="pct"/>
            <w:noWrap/>
            <w:hideMark/>
          </w:tcPr>
          <w:p w14:paraId="4D0987EB" w14:textId="77777777" w:rsidR="00156C9E" w:rsidRPr="000B6AA4" w:rsidRDefault="00156C9E" w:rsidP="00634CA1">
            <w:pPr>
              <w:ind w:left="-82"/>
            </w:pPr>
            <w:r w:rsidRPr="000B6AA4">
              <w:t>Norway</w:t>
            </w:r>
            <w:r>
              <w:t xml:space="preserve"> (</w:t>
            </w:r>
            <w:proofErr w:type="spellStart"/>
            <w:r>
              <w:t>NoMA</w:t>
            </w:r>
            <w:proofErr w:type="spellEnd"/>
            <w:r>
              <w:t>)</w:t>
            </w:r>
          </w:p>
        </w:tc>
        <w:tc>
          <w:tcPr>
            <w:tcW w:w="751" w:type="pct"/>
            <w:noWrap/>
            <w:hideMark/>
          </w:tcPr>
          <w:p w14:paraId="01B015C5" w14:textId="77777777" w:rsidR="00156C9E" w:rsidRPr="000B6AA4" w:rsidRDefault="00156C9E" w:rsidP="00634CA1">
            <w:r w:rsidRPr="000B6AA4">
              <w:t>Yes</w:t>
            </w:r>
          </w:p>
        </w:tc>
        <w:tc>
          <w:tcPr>
            <w:tcW w:w="2253" w:type="pct"/>
            <w:noWrap/>
            <w:hideMark/>
          </w:tcPr>
          <w:p w14:paraId="5B3FE069" w14:textId="77777777" w:rsidR="00156C9E" w:rsidRPr="000B6AA4" w:rsidRDefault="00156C9E" w:rsidP="00634CA1">
            <w:r w:rsidRPr="000B6AA4">
              <w:t xml:space="preserve">As </w:t>
            </w:r>
            <w:r>
              <w:t>England and Wales (NICE)</w:t>
            </w:r>
          </w:p>
        </w:tc>
        <w:tc>
          <w:tcPr>
            <w:tcW w:w="1332" w:type="pct"/>
          </w:tcPr>
          <w:p w14:paraId="3C90FEAE" w14:textId="77777777" w:rsidR="00156C9E" w:rsidRPr="000B6AA4" w:rsidRDefault="00156C9E" w:rsidP="00634CA1">
            <w:r w:rsidRPr="0068789B">
              <w:rPr>
                <w:rFonts w:cstheme="minorHAnsi"/>
                <w:szCs w:val="18"/>
              </w:rPr>
              <w:t>4% for cost and benefits the first 40 years, 3% from year 40 to 74 and 2% thereafter.</w:t>
            </w:r>
          </w:p>
        </w:tc>
      </w:tr>
      <w:tr w:rsidR="00156C9E" w:rsidRPr="00111726" w14:paraId="11CD1C0D" w14:textId="77777777" w:rsidTr="00634CA1">
        <w:trPr>
          <w:trHeight w:val="288"/>
        </w:trPr>
        <w:tc>
          <w:tcPr>
            <w:tcW w:w="664" w:type="pct"/>
            <w:noWrap/>
            <w:hideMark/>
          </w:tcPr>
          <w:p w14:paraId="579F2F59" w14:textId="77777777" w:rsidR="00156C9E" w:rsidRPr="000B6AA4" w:rsidRDefault="00156C9E" w:rsidP="00634CA1">
            <w:pPr>
              <w:ind w:left="-82"/>
            </w:pPr>
            <w:r w:rsidRPr="000B6AA4">
              <w:lastRenderedPageBreak/>
              <w:t xml:space="preserve"> Sweden</w:t>
            </w:r>
            <w:r>
              <w:t xml:space="preserve"> (TLV)</w:t>
            </w:r>
            <w:r w:rsidRPr="000B6AA4">
              <w:t xml:space="preserve"> </w:t>
            </w:r>
          </w:p>
        </w:tc>
        <w:tc>
          <w:tcPr>
            <w:tcW w:w="751" w:type="pct"/>
            <w:noWrap/>
            <w:hideMark/>
          </w:tcPr>
          <w:p w14:paraId="10E83D7B" w14:textId="77777777" w:rsidR="00156C9E" w:rsidRPr="000B6AA4" w:rsidRDefault="00156C9E" w:rsidP="00634CA1">
            <w:r w:rsidRPr="000B6AA4">
              <w:t>Yes</w:t>
            </w:r>
          </w:p>
        </w:tc>
        <w:tc>
          <w:tcPr>
            <w:tcW w:w="2253" w:type="pct"/>
            <w:noWrap/>
            <w:hideMark/>
          </w:tcPr>
          <w:p w14:paraId="388B4A7C" w14:textId="77777777" w:rsidR="00156C9E" w:rsidRPr="000B6AA4" w:rsidRDefault="00156C9E" w:rsidP="00634CA1">
            <w:r w:rsidRPr="000B6AA4">
              <w:t>No method specified</w:t>
            </w:r>
          </w:p>
        </w:tc>
        <w:tc>
          <w:tcPr>
            <w:tcW w:w="1332" w:type="pct"/>
          </w:tcPr>
          <w:p w14:paraId="52B556BB" w14:textId="77777777" w:rsidR="00156C9E" w:rsidRPr="000B6AA4" w:rsidRDefault="00156C9E" w:rsidP="00634CA1">
            <w:r>
              <w:t>3% for cost and benefits.</w:t>
            </w:r>
          </w:p>
        </w:tc>
      </w:tr>
      <w:tr w:rsidR="00156C9E" w:rsidRPr="00111726" w14:paraId="7B84CA67" w14:textId="77777777" w:rsidTr="00634CA1">
        <w:trPr>
          <w:trHeight w:val="288"/>
        </w:trPr>
        <w:tc>
          <w:tcPr>
            <w:tcW w:w="664" w:type="pct"/>
            <w:noWrap/>
          </w:tcPr>
          <w:p w14:paraId="04B9E994" w14:textId="77777777" w:rsidR="00156C9E" w:rsidRPr="000B6AA4" w:rsidRDefault="00156C9E" w:rsidP="00634CA1">
            <w:pPr>
              <w:ind w:left="-82"/>
            </w:pPr>
            <w:r w:rsidRPr="000B6AA4">
              <w:t xml:space="preserve">The </w:t>
            </w:r>
            <w:r>
              <w:t>Netherlands (ZIN)</w:t>
            </w:r>
          </w:p>
        </w:tc>
        <w:tc>
          <w:tcPr>
            <w:tcW w:w="751" w:type="pct"/>
            <w:noWrap/>
          </w:tcPr>
          <w:p w14:paraId="6B4297D9" w14:textId="77777777" w:rsidR="00156C9E" w:rsidRPr="000B6AA4" w:rsidRDefault="00156C9E" w:rsidP="00634CA1">
            <w:r w:rsidRPr="000B6AA4">
              <w:t>Yes</w:t>
            </w:r>
          </w:p>
        </w:tc>
        <w:tc>
          <w:tcPr>
            <w:tcW w:w="2253" w:type="pct"/>
            <w:noWrap/>
          </w:tcPr>
          <w:p w14:paraId="74C84BCD" w14:textId="77777777" w:rsidR="00156C9E" w:rsidRPr="000B6AA4" w:rsidRDefault="00156C9E" w:rsidP="00634CA1">
            <w:r w:rsidRPr="000B6AA4">
              <w:t xml:space="preserve">As </w:t>
            </w:r>
            <w:r>
              <w:t>England and Wales (NICE)</w:t>
            </w:r>
          </w:p>
        </w:tc>
        <w:tc>
          <w:tcPr>
            <w:tcW w:w="1332" w:type="pct"/>
          </w:tcPr>
          <w:p w14:paraId="4310EDEF" w14:textId="77777777" w:rsidR="00156C9E" w:rsidRDefault="00156C9E" w:rsidP="00634CA1">
            <w:r>
              <w:t>4% for cost and 1.5% for benefits.</w:t>
            </w:r>
          </w:p>
        </w:tc>
      </w:tr>
      <w:tr w:rsidR="00156C9E" w:rsidRPr="00111726" w14:paraId="527576F7" w14:textId="77777777" w:rsidTr="00634CA1">
        <w:trPr>
          <w:trHeight w:val="288"/>
        </w:trPr>
        <w:tc>
          <w:tcPr>
            <w:tcW w:w="664" w:type="pct"/>
            <w:noWrap/>
            <w:hideMark/>
          </w:tcPr>
          <w:p w14:paraId="3055D6CB" w14:textId="77777777" w:rsidR="00156C9E" w:rsidRPr="000B6AA4" w:rsidRDefault="00156C9E" w:rsidP="00634CA1">
            <w:pPr>
              <w:ind w:left="-82"/>
            </w:pPr>
            <w:r>
              <w:t>Belgium (RIZIV-INAMI)</w:t>
            </w:r>
          </w:p>
        </w:tc>
        <w:tc>
          <w:tcPr>
            <w:tcW w:w="751" w:type="pct"/>
            <w:noWrap/>
            <w:hideMark/>
          </w:tcPr>
          <w:p w14:paraId="681DE982" w14:textId="77777777" w:rsidR="00156C9E" w:rsidRPr="000B6AA4" w:rsidRDefault="00156C9E" w:rsidP="00634CA1">
            <w:r>
              <w:t>No</w:t>
            </w:r>
          </w:p>
        </w:tc>
        <w:tc>
          <w:tcPr>
            <w:tcW w:w="2253" w:type="pct"/>
            <w:noWrap/>
            <w:hideMark/>
          </w:tcPr>
          <w:p w14:paraId="5E94102B" w14:textId="77777777" w:rsidR="00156C9E" w:rsidRPr="000B6AA4" w:rsidRDefault="00156C9E" w:rsidP="00634CA1">
            <w:r w:rsidRPr="00546A04">
              <w:t>Not specified</w:t>
            </w:r>
          </w:p>
        </w:tc>
        <w:tc>
          <w:tcPr>
            <w:tcW w:w="1332" w:type="pct"/>
          </w:tcPr>
          <w:p w14:paraId="713D29B2" w14:textId="77777777" w:rsidR="00156C9E" w:rsidRPr="000B6AA4" w:rsidRDefault="00156C9E" w:rsidP="00634CA1">
            <w:r>
              <w:t>3% for cost and 1.5% for benefits.</w:t>
            </w:r>
          </w:p>
        </w:tc>
      </w:tr>
      <w:tr w:rsidR="00156C9E" w:rsidRPr="00111726" w14:paraId="635C07E5" w14:textId="77777777" w:rsidTr="00634CA1">
        <w:trPr>
          <w:trHeight w:val="288"/>
        </w:trPr>
        <w:tc>
          <w:tcPr>
            <w:tcW w:w="664" w:type="pct"/>
            <w:noWrap/>
          </w:tcPr>
          <w:p w14:paraId="7F61D1BF" w14:textId="77777777" w:rsidR="00156C9E" w:rsidRDefault="00156C9E" w:rsidP="00634CA1">
            <w:pPr>
              <w:ind w:left="-82"/>
            </w:pPr>
            <w:r>
              <w:t>Japan (C2H)</w:t>
            </w:r>
          </w:p>
        </w:tc>
        <w:tc>
          <w:tcPr>
            <w:tcW w:w="751" w:type="pct"/>
            <w:noWrap/>
          </w:tcPr>
          <w:p w14:paraId="66B87B6E" w14:textId="77777777" w:rsidR="00156C9E" w:rsidRDefault="00156C9E" w:rsidP="00634CA1">
            <w:r>
              <w:t>No</w:t>
            </w:r>
          </w:p>
        </w:tc>
        <w:tc>
          <w:tcPr>
            <w:tcW w:w="2253" w:type="pct"/>
            <w:noWrap/>
          </w:tcPr>
          <w:p w14:paraId="4E640C4B" w14:textId="77777777" w:rsidR="00156C9E" w:rsidRDefault="00156C9E" w:rsidP="00634CA1">
            <w:r w:rsidRPr="00546A04">
              <w:t>Not specified</w:t>
            </w:r>
          </w:p>
        </w:tc>
        <w:tc>
          <w:tcPr>
            <w:tcW w:w="1332" w:type="pct"/>
          </w:tcPr>
          <w:p w14:paraId="6F387136" w14:textId="77777777" w:rsidR="00156C9E" w:rsidRDefault="00156C9E" w:rsidP="00634CA1">
            <w:r>
              <w:t>2% for cost and benefits.</w:t>
            </w:r>
          </w:p>
        </w:tc>
      </w:tr>
      <w:tr w:rsidR="00156C9E" w:rsidRPr="00111726" w14:paraId="39E038E7" w14:textId="77777777" w:rsidTr="00634CA1">
        <w:trPr>
          <w:trHeight w:val="288"/>
        </w:trPr>
        <w:tc>
          <w:tcPr>
            <w:tcW w:w="664" w:type="pct"/>
            <w:noWrap/>
          </w:tcPr>
          <w:p w14:paraId="5CA7CFF4" w14:textId="77777777" w:rsidR="00156C9E" w:rsidRDefault="00156C9E" w:rsidP="00634CA1">
            <w:pPr>
              <w:ind w:left="-82"/>
            </w:pPr>
            <w:r>
              <w:rPr>
                <w:rFonts w:cstheme="minorHAnsi"/>
              </w:rPr>
              <w:t>South Korea (NECA)</w:t>
            </w:r>
          </w:p>
        </w:tc>
        <w:tc>
          <w:tcPr>
            <w:tcW w:w="751" w:type="pct"/>
            <w:noWrap/>
          </w:tcPr>
          <w:p w14:paraId="2CE1B5D5" w14:textId="77777777" w:rsidR="00156C9E" w:rsidRDefault="00156C9E" w:rsidP="00634CA1">
            <w:r>
              <w:t>No</w:t>
            </w:r>
          </w:p>
        </w:tc>
        <w:tc>
          <w:tcPr>
            <w:tcW w:w="2253" w:type="pct"/>
            <w:noWrap/>
          </w:tcPr>
          <w:p w14:paraId="6A097F53" w14:textId="77777777" w:rsidR="00156C9E" w:rsidRDefault="00156C9E" w:rsidP="00634CA1">
            <w:r w:rsidRPr="00546A04">
              <w:t>Not specified</w:t>
            </w:r>
          </w:p>
        </w:tc>
        <w:tc>
          <w:tcPr>
            <w:tcW w:w="1332" w:type="pct"/>
          </w:tcPr>
          <w:p w14:paraId="09666FEB" w14:textId="77777777" w:rsidR="00156C9E" w:rsidRDefault="00156C9E" w:rsidP="00634CA1">
            <w:r>
              <w:t>5% for cost and benefits.</w:t>
            </w:r>
          </w:p>
        </w:tc>
      </w:tr>
      <w:tr w:rsidR="00156C9E" w:rsidRPr="00111726" w14:paraId="17815327" w14:textId="77777777" w:rsidTr="00634CA1">
        <w:trPr>
          <w:trHeight w:val="288"/>
        </w:trPr>
        <w:tc>
          <w:tcPr>
            <w:tcW w:w="664" w:type="pct"/>
            <w:noWrap/>
          </w:tcPr>
          <w:p w14:paraId="69F3C80A" w14:textId="77777777" w:rsidR="00156C9E" w:rsidRPr="000B6AA4" w:rsidRDefault="00156C9E" w:rsidP="00634CA1">
            <w:pPr>
              <w:ind w:left="-82"/>
            </w:pPr>
            <w:r w:rsidRPr="000B6AA4">
              <w:t>Singapore</w:t>
            </w:r>
            <w:r>
              <w:t xml:space="preserve"> (ACE)</w:t>
            </w:r>
          </w:p>
        </w:tc>
        <w:tc>
          <w:tcPr>
            <w:tcW w:w="751" w:type="pct"/>
            <w:noWrap/>
          </w:tcPr>
          <w:p w14:paraId="484E0478" w14:textId="77777777" w:rsidR="00156C9E" w:rsidRPr="000B6AA4" w:rsidRDefault="00156C9E" w:rsidP="00634CA1">
            <w:r w:rsidRPr="000B6AA4">
              <w:t xml:space="preserve">Yes. </w:t>
            </w:r>
          </w:p>
        </w:tc>
        <w:tc>
          <w:tcPr>
            <w:tcW w:w="2253" w:type="pct"/>
            <w:noWrap/>
          </w:tcPr>
          <w:p w14:paraId="740E4B74" w14:textId="77777777" w:rsidR="00156C9E" w:rsidRPr="000B6AA4" w:rsidRDefault="00156C9E" w:rsidP="00634CA1">
            <w:r w:rsidRPr="000B6AA4">
              <w:t xml:space="preserve">As </w:t>
            </w:r>
            <w:r>
              <w:t>England and Wales (NICE)</w:t>
            </w:r>
            <w:r w:rsidRPr="000B6AA4">
              <w:t xml:space="preserve"> </w:t>
            </w:r>
          </w:p>
        </w:tc>
        <w:tc>
          <w:tcPr>
            <w:tcW w:w="1332" w:type="pct"/>
          </w:tcPr>
          <w:p w14:paraId="63719581" w14:textId="77777777" w:rsidR="00156C9E" w:rsidRPr="000B6AA4" w:rsidRDefault="00156C9E" w:rsidP="00634CA1">
            <w:r>
              <w:t>3% for cost and benefits.</w:t>
            </w:r>
          </w:p>
        </w:tc>
      </w:tr>
      <w:tr w:rsidR="00156C9E" w:rsidRPr="00111726" w14:paraId="7952F457" w14:textId="77777777" w:rsidTr="00634CA1">
        <w:trPr>
          <w:trHeight w:val="288"/>
        </w:trPr>
        <w:tc>
          <w:tcPr>
            <w:tcW w:w="664" w:type="pct"/>
            <w:noWrap/>
          </w:tcPr>
          <w:p w14:paraId="575FB81D" w14:textId="77777777" w:rsidR="00156C9E" w:rsidRPr="000B6AA4" w:rsidRDefault="00156C9E" w:rsidP="00634CA1">
            <w:pPr>
              <w:ind w:left="-82"/>
            </w:pPr>
            <w:r>
              <w:t>Taiwan (CDE)</w:t>
            </w:r>
          </w:p>
        </w:tc>
        <w:tc>
          <w:tcPr>
            <w:tcW w:w="751" w:type="pct"/>
            <w:noWrap/>
          </w:tcPr>
          <w:p w14:paraId="0E270C2D" w14:textId="77777777" w:rsidR="00156C9E" w:rsidRPr="000B6AA4" w:rsidRDefault="00156C9E" w:rsidP="00634CA1">
            <w:r>
              <w:t>No</w:t>
            </w:r>
          </w:p>
        </w:tc>
        <w:tc>
          <w:tcPr>
            <w:tcW w:w="2253" w:type="pct"/>
            <w:noWrap/>
          </w:tcPr>
          <w:p w14:paraId="0B0AD372" w14:textId="77777777" w:rsidR="00156C9E" w:rsidRPr="000B6AA4" w:rsidRDefault="00156C9E" w:rsidP="00634CA1">
            <w:r w:rsidRPr="000B6AA4">
              <w:t>Not specified</w:t>
            </w:r>
          </w:p>
        </w:tc>
        <w:tc>
          <w:tcPr>
            <w:tcW w:w="1332" w:type="pct"/>
          </w:tcPr>
          <w:p w14:paraId="395E7FA0" w14:textId="77777777" w:rsidR="00156C9E" w:rsidRDefault="00156C9E" w:rsidP="00634CA1">
            <w:r>
              <w:t>5% for cost and benefits.</w:t>
            </w:r>
          </w:p>
        </w:tc>
      </w:tr>
    </w:tbl>
    <w:p w14:paraId="34B78955"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21"/>
        </w:rPr>
      </w:pPr>
      <w:r w:rsidRPr="00156C9E">
        <w:rPr>
          <w:rFonts w:ascii="Times New Roman" w:eastAsia="ＭＳ Ｐ明朝" w:hAnsi="Times New Roman" w:cs="Times New Roman"/>
          <w:sz w:val="18"/>
          <w:szCs w:val="21"/>
        </w:rPr>
        <w:t>ACE= Agency for Care Effectiveness; CADTH= Canadian Agency for Drugs and Technologies in Health; HAS= Haute Autorité de Santé; MSAC= Medical and Scientific Advisory Council</w:t>
      </w:r>
      <w:r w:rsidR="0000048A" w:rsidRPr="00156C9E">
        <w:rPr>
          <w:rFonts w:ascii="Times New Roman" w:eastAsia="ＭＳ Ｐ明朝" w:hAnsi="Times New Roman" w:cs="Times New Roman"/>
          <w:sz w:val="18"/>
          <w:szCs w:val="21"/>
        </w:rPr>
        <w:t xml:space="preserve">; NA= not applicable; </w:t>
      </w:r>
      <w:r w:rsidR="00257B41" w:rsidRPr="00156C9E">
        <w:rPr>
          <w:rFonts w:ascii="Times New Roman" w:eastAsia="ＭＳ Ｐ明朝" w:hAnsi="Times New Roman" w:cs="Times New Roman"/>
          <w:sz w:val="18"/>
          <w:szCs w:val="21"/>
        </w:rPr>
        <w:t>NECA= National Evidence-based healthcare Collaborating Agency</w:t>
      </w:r>
      <w:r w:rsidR="00257B41" w:rsidRPr="00156C9E">
        <w:rPr>
          <w:rFonts w:ascii="Times New Roman" w:eastAsia="ＭＳ Ｐ明朝" w:hAnsi="Times New Roman" w:cs="Times New Roman"/>
          <w:sz w:val="18"/>
          <w:szCs w:val="21"/>
        </w:rPr>
        <w:t>（韓国）</w:t>
      </w:r>
      <w:r w:rsidR="00257B41" w:rsidRPr="00156C9E">
        <w:rPr>
          <w:rFonts w:ascii="Times New Roman" w:eastAsia="ＭＳ Ｐ明朝" w:hAnsi="Times New Roman" w:cs="Times New Roman"/>
          <w:sz w:val="18"/>
          <w:szCs w:val="21"/>
        </w:rPr>
        <w:t xml:space="preserve">; </w:t>
      </w:r>
      <w:r w:rsidRPr="00156C9E">
        <w:rPr>
          <w:rFonts w:ascii="Times New Roman" w:eastAsia="ＭＳ Ｐ明朝" w:hAnsi="Times New Roman" w:cs="Times New Roman"/>
          <w:sz w:val="18"/>
          <w:szCs w:val="21"/>
        </w:rPr>
        <w:t>NICE= National Institute for Health and Care Excellence</w:t>
      </w:r>
      <w:r w:rsidRPr="00156C9E">
        <w:rPr>
          <w:rFonts w:ascii="Times New Roman" w:eastAsia="ＭＳ Ｐ明朝" w:hAnsi="Times New Roman" w:cs="Times New Roman"/>
          <w:sz w:val="18"/>
          <w:szCs w:val="21"/>
        </w:rPr>
        <w:t>；</w:t>
      </w:r>
      <w:r w:rsidRPr="00156C9E">
        <w:rPr>
          <w:rFonts w:ascii="Times New Roman" w:eastAsia="ＭＳ Ｐ明朝" w:hAnsi="Times New Roman" w:cs="Times New Roman"/>
          <w:sz w:val="18"/>
          <w:szCs w:val="21"/>
        </w:rPr>
        <w:t>NoMA= Norwegian Medicines Agency; PBAC= Pharmaceutical Benefits Advisory Committee; PHARMAC= Pharmaceutical Management Agency; SMC= Scottish Medicines Consortium; TLV= Swedish Dental and Pharmaceutical Benefits Agency; TSD= Technical Support Document; ZIN= The National Health Care Institute</w:t>
      </w:r>
      <w:r w:rsidRPr="00156C9E">
        <w:rPr>
          <w:rFonts w:ascii="Times New Roman" w:eastAsia="ＭＳ Ｐ明朝" w:hAnsi="Times New Roman" w:cs="Times New Roman"/>
          <w:sz w:val="18"/>
          <w:szCs w:val="21"/>
        </w:rPr>
        <w:t>；</w:t>
      </w:r>
      <w:r w:rsidRPr="00156C9E">
        <w:rPr>
          <w:rFonts w:ascii="Times New Roman" w:eastAsia="ＭＳ Ｐ明朝" w:hAnsi="Times New Roman" w:cs="Times New Roman"/>
          <w:sz w:val="18"/>
          <w:szCs w:val="21"/>
        </w:rPr>
        <w:t xml:space="preserve"> </w:t>
      </w:r>
    </w:p>
    <w:p w14:paraId="001C471E"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21"/>
          <w:lang w:eastAsia="ja-JP"/>
        </w:rPr>
      </w:pPr>
      <w:r w:rsidRPr="00156C9E">
        <w:rPr>
          <w:rFonts w:ascii="Times New Roman" w:eastAsia="ＭＳ Ｐ明朝" w:hAnsi="Times New Roman" w:cs="Times New Roman"/>
          <w:sz w:val="18"/>
          <w:szCs w:val="21"/>
          <w:lang w:eastAsia="ja-JP"/>
        </w:rPr>
        <w:t>これらの</w:t>
      </w:r>
      <w:r w:rsidR="0064555B" w:rsidRPr="00156C9E">
        <w:rPr>
          <w:rFonts w:ascii="Times New Roman" w:eastAsia="ＭＳ Ｐ明朝" w:hAnsi="Times New Roman" w:cs="Times New Roman"/>
          <w:sz w:val="18"/>
          <w:szCs w:val="21"/>
          <w:lang w:eastAsia="ja-JP"/>
        </w:rPr>
        <w:t>国</w:t>
      </w:r>
      <w:r w:rsidRPr="00156C9E">
        <w:rPr>
          <w:rFonts w:ascii="Times New Roman" w:eastAsia="ＭＳ Ｐ明朝" w:hAnsi="Times New Roman" w:cs="Times New Roman"/>
          <w:sz w:val="18"/>
          <w:szCs w:val="21"/>
          <w:lang w:eastAsia="ja-JP"/>
        </w:rPr>
        <w:t>（ルクセンブルク、スペイン、）では、外挿に関する情報はなかった。</w:t>
      </w:r>
    </w:p>
    <w:p w14:paraId="57E0F714" w14:textId="77777777" w:rsidR="00FF745D" w:rsidRPr="00156C9E" w:rsidRDefault="00000000" w:rsidP="00156C9E">
      <w:pPr>
        <w:pStyle w:val="afc"/>
        <w:snapToGrid w:val="0"/>
        <w:spacing w:line="240" w:lineRule="atLeast"/>
        <w:rPr>
          <w:rFonts w:ascii="Times New Roman" w:eastAsia="ＭＳ Ｐ明朝" w:hAnsi="Times New Roman" w:cs="Times New Roman"/>
          <w:sz w:val="18"/>
          <w:szCs w:val="21"/>
          <w:lang w:eastAsia="ja-JP"/>
        </w:rPr>
      </w:pPr>
      <w:r w:rsidRPr="00156C9E">
        <w:rPr>
          <w:rFonts w:ascii="Times New Roman" w:eastAsia="ＭＳ Ｐ明朝" w:hAnsi="Times New Roman" w:cs="Times New Roman"/>
          <w:sz w:val="18"/>
          <w:szCs w:val="21"/>
          <w:lang w:eastAsia="ja-JP"/>
        </w:rPr>
        <w:t>出典</w:t>
      </w:r>
      <w:r w:rsidR="00E36630" w:rsidRPr="00156C9E">
        <w:rPr>
          <w:rFonts w:ascii="Times New Roman" w:eastAsia="ＭＳ Ｐ明朝" w:hAnsi="Times New Roman" w:cs="Times New Roman"/>
          <w:sz w:val="18"/>
          <w:szCs w:val="21"/>
          <w:lang w:eastAsia="ja-JP"/>
        </w:rPr>
        <w:t>ACE</w:t>
      </w:r>
      <w:r w:rsidR="00E36630" w:rsidRPr="00156C9E">
        <w:rPr>
          <w:rFonts w:ascii="Times New Roman" w:eastAsia="ＭＳ Ｐ明朝" w:hAnsi="Times New Roman" w:cs="Times New Roman"/>
          <w:sz w:val="18"/>
          <w:szCs w:val="21"/>
          <w:lang w:eastAsia="ja-JP"/>
        </w:rPr>
        <w:t>ガイドライン</w:t>
      </w:r>
      <w:r w:rsidR="00E36630" w:rsidRPr="00156C9E">
        <w:rPr>
          <w:rFonts w:ascii="Times New Roman" w:eastAsia="ＭＳ Ｐ明朝" w:hAnsi="Times New Roman" w:cs="Times New Roman"/>
          <w:sz w:val="18"/>
          <w:szCs w:val="21"/>
          <w:lang w:eastAsia="ja-JP"/>
        </w:rPr>
        <w:t>2023</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C2H</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CADTH</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2017</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CDE</w:t>
      </w:r>
      <w:r w:rsidRPr="00156C9E">
        <w:rPr>
          <w:rFonts w:ascii="Times New Roman" w:eastAsia="ＭＳ Ｐ明朝" w:hAnsi="Times New Roman" w:cs="Times New Roman"/>
          <w:sz w:val="18"/>
          <w:szCs w:val="21"/>
          <w:lang w:eastAsia="ja-JP"/>
        </w:rPr>
        <w:t>（</w:t>
      </w:r>
      <w:proofErr w:type="spellStart"/>
      <w:r w:rsidRPr="00156C9E">
        <w:rPr>
          <w:rFonts w:ascii="Times New Roman" w:eastAsia="ＭＳ Ｐ明朝" w:hAnsi="Times New Roman" w:cs="Times New Roman"/>
          <w:sz w:val="18"/>
          <w:szCs w:val="21"/>
          <w:lang w:eastAsia="ja-JP"/>
        </w:rPr>
        <w:t>TasPOR</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2006</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HAS</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2020</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HIRA</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Bae</w:t>
      </w:r>
      <w:r w:rsidRPr="00156C9E">
        <w:rPr>
          <w:rFonts w:ascii="Times New Roman" w:eastAsia="ＭＳ Ｐ明朝" w:hAnsi="Times New Roman" w:cs="Times New Roman"/>
          <w:sz w:val="18"/>
          <w:szCs w:val="21"/>
          <w:lang w:eastAsia="ja-JP"/>
        </w:rPr>
        <w:t>ら）</w:t>
      </w:r>
      <w:r w:rsidRPr="00156C9E">
        <w:rPr>
          <w:rFonts w:ascii="Times New Roman" w:eastAsia="ＭＳ Ｐ明朝" w:hAnsi="Times New Roman" w:cs="Times New Roman"/>
          <w:sz w:val="18"/>
          <w:szCs w:val="21"/>
          <w:lang w:eastAsia="ja-JP"/>
        </w:rPr>
        <w:t xml:space="preserve">2022 </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INAMI-RIZIV</w:t>
      </w:r>
      <w:r w:rsidRPr="00156C9E">
        <w:rPr>
          <w:rFonts w:ascii="Times New Roman" w:eastAsia="ＭＳ Ｐ明朝" w:hAnsi="Times New Roman" w:cs="Times New Roman"/>
          <w:sz w:val="18"/>
          <w:szCs w:val="21"/>
          <w:lang w:eastAsia="ja-JP"/>
        </w:rPr>
        <w:t>ガイドライン、</w:t>
      </w:r>
      <w:proofErr w:type="spellStart"/>
      <w:r w:rsidRPr="00156C9E">
        <w:rPr>
          <w:rFonts w:ascii="Times New Roman" w:eastAsia="ＭＳ Ｐ明朝" w:hAnsi="Times New Roman" w:cs="Times New Roman"/>
          <w:sz w:val="18"/>
          <w:szCs w:val="21"/>
          <w:lang w:eastAsia="ja-JP"/>
        </w:rPr>
        <w:t>IQWiG</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KCE</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2012</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MSAC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2021</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NICE</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Pr="00156C9E">
        <w:rPr>
          <w:rFonts w:ascii="Times New Roman" w:eastAsia="ＭＳ Ｐ明朝" w:hAnsi="Times New Roman" w:cs="Times New Roman"/>
          <w:sz w:val="18"/>
          <w:szCs w:val="21"/>
          <w:lang w:eastAsia="ja-JP"/>
        </w:rPr>
        <w:t>、</w:t>
      </w:r>
      <w:proofErr w:type="spellStart"/>
      <w:r w:rsidRPr="00156C9E">
        <w:rPr>
          <w:rFonts w:ascii="Times New Roman" w:eastAsia="ＭＳ Ｐ明朝" w:hAnsi="Times New Roman" w:cs="Times New Roman"/>
          <w:sz w:val="18"/>
          <w:szCs w:val="21"/>
          <w:lang w:eastAsia="ja-JP"/>
        </w:rPr>
        <w:t>NoMA</w:t>
      </w:r>
      <w:proofErr w:type="spellEnd"/>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2018</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PBAC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2016</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PHARMAC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SMC</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2022</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TLV</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2017</w:t>
      </w:r>
      <w:r w:rsidRPr="00156C9E">
        <w:rPr>
          <w:rFonts w:ascii="Times New Roman" w:eastAsia="ＭＳ Ｐ明朝" w:hAnsi="Times New Roman" w:cs="Times New Roman"/>
          <w:sz w:val="18"/>
          <w:szCs w:val="21"/>
          <w:lang w:eastAsia="ja-JP"/>
        </w:rPr>
        <w:t>、</w:t>
      </w:r>
      <w:r w:rsidRPr="00156C9E">
        <w:rPr>
          <w:rFonts w:ascii="Times New Roman" w:eastAsia="ＭＳ Ｐ明朝" w:hAnsi="Times New Roman" w:cs="Times New Roman"/>
          <w:sz w:val="18"/>
          <w:szCs w:val="21"/>
          <w:lang w:eastAsia="ja-JP"/>
        </w:rPr>
        <w:t>ZIN</w:t>
      </w:r>
      <w:r w:rsidRPr="00156C9E">
        <w:rPr>
          <w:rFonts w:ascii="Times New Roman" w:eastAsia="ＭＳ Ｐ明朝" w:hAnsi="Times New Roman" w:cs="Times New Roman"/>
          <w:sz w:val="18"/>
          <w:szCs w:val="21"/>
          <w:lang w:eastAsia="ja-JP"/>
        </w:rPr>
        <w:t>ガイドライン</w:t>
      </w:r>
      <w:r w:rsidRPr="00156C9E">
        <w:rPr>
          <w:rFonts w:ascii="Times New Roman" w:eastAsia="ＭＳ Ｐ明朝" w:hAnsi="Times New Roman" w:cs="Times New Roman"/>
          <w:sz w:val="18"/>
          <w:szCs w:val="21"/>
          <w:lang w:eastAsia="ja-JP"/>
        </w:rPr>
        <w:t>2016</w:t>
      </w:r>
      <w:r w:rsidR="00277B96" w:rsidRPr="00156C9E">
        <w:rPr>
          <w:rFonts w:ascii="Times New Roman" w:eastAsia="ＭＳ Ｐ明朝" w:hAnsi="Times New Roman" w:cs="Times New Roman"/>
          <w:sz w:val="18"/>
          <w:szCs w:val="21"/>
          <w:lang w:eastAsia="ja-JP"/>
        </w:rPr>
        <w:t xml:space="preserve">; Latimer </w:t>
      </w:r>
      <w:r w:rsidR="001A1CC3" w:rsidRPr="00156C9E">
        <w:rPr>
          <w:rFonts w:ascii="Times New Roman" w:eastAsia="ＭＳ Ｐ明朝" w:hAnsi="Times New Roman" w:cs="Times New Roman"/>
          <w:sz w:val="18"/>
          <w:szCs w:val="21"/>
          <w:lang w:eastAsia="ja-JP"/>
        </w:rPr>
        <w:t xml:space="preserve">TSD </w:t>
      </w:r>
      <w:r w:rsidR="00277B96" w:rsidRPr="00156C9E">
        <w:rPr>
          <w:rFonts w:ascii="Times New Roman" w:eastAsia="ＭＳ Ｐ明朝" w:hAnsi="Times New Roman" w:cs="Times New Roman"/>
          <w:sz w:val="18"/>
          <w:szCs w:val="21"/>
          <w:lang w:eastAsia="ja-JP"/>
        </w:rPr>
        <w:t xml:space="preserve">14 </w:t>
      </w:r>
      <w:r w:rsidR="00277B96" w:rsidRPr="00156C9E">
        <w:rPr>
          <w:rFonts w:ascii="Times New Roman" w:eastAsia="ＭＳ Ｐ明朝" w:hAnsi="Times New Roman" w:cs="Times New Roman"/>
          <w:sz w:val="18"/>
          <w:szCs w:val="21"/>
        </w:rPr>
        <w:fldChar w:fldCharType="begin"/>
      </w:r>
      <w:r w:rsidR="005E33D6" w:rsidRPr="00156C9E">
        <w:rPr>
          <w:rFonts w:ascii="Times New Roman" w:eastAsia="ＭＳ Ｐ明朝" w:hAnsi="Times New Roman" w:cs="Times New Roman"/>
          <w:sz w:val="18"/>
          <w:szCs w:val="21"/>
          <w:lang w:eastAsia="ja-JP"/>
        </w:rPr>
        <w:instrText xml:space="preserve"> ADDIN EN.CITE &lt;EndNote&gt;&lt;Cite&gt;&lt;Author&gt;Latimer&lt;/Author&gt;&lt;Year&gt;2011&lt;/Year&gt;&lt;RecNum&gt;53&lt;/RecNum&gt;&lt;DisplayText&gt;[38]&lt;/DisplayText&gt;&lt;record&gt;&lt;rec-number&gt;53&lt;/rec-number&gt;&lt;foreign-keys&gt;&lt;key app="EN" db-id="z25xddsz659sshedpdu5pda3dswx20f99sf9" timestamp="1692001883"&gt;53&lt;/key&gt;&lt;/foreign-keys&gt;&lt;ref-type name="Journal Article"&gt;17&lt;/ref-type&gt;&lt;contributors&gt;&lt;authors&gt;&lt;author&gt;Latimer, Nicholas&lt;/author&gt;&lt;/authors&gt;&lt;/contributors&gt;&lt;titles&gt;&lt;title&gt;NICE DSU technical support document 14: survival analysis for economic evaluations alongside clinical trials-extrapolation with patient-level data&lt;/title&gt;&lt;secondary-title&gt;Report by the Decision Support Unit&lt;/secondary-title&gt;&lt;/titles&gt;&lt;periodical&gt;&lt;full-title&gt;Report by the Decision Support Unit&lt;/full-title&gt;&lt;/periodical&gt;&lt;dates&gt;&lt;year&gt;2011&lt;/year&gt;&lt;/dates&gt;&lt;urls&gt;&lt;/urls&gt;&lt;/record&gt;&lt;/Cite&gt;&lt;/EndNote&gt;</w:instrText>
      </w:r>
      <w:r w:rsidR="00277B96" w:rsidRPr="00156C9E">
        <w:rPr>
          <w:rFonts w:ascii="Times New Roman" w:eastAsia="ＭＳ Ｐ明朝" w:hAnsi="Times New Roman" w:cs="Times New Roman"/>
          <w:sz w:val="18"/>
          <w:szCs w:val="21"/>
        </w:rPr>
        <w:fldChar w:fldCharType="separate"/>
      </w:r>
      <w:r w:rsidR="005E33D6" w:rsidRPr="00156C9E">
        <w:rPr>
          <w:rFonts w:ascii="Times New Roman" w:eastAsia="ＭＳ Ｐ明朝" w:hAnsi="Times New Roman" w:cs="Times New Roman"/>
          <w:noProof/>
          <w:sz w:val="18"/>
          <w:szCs w:val="21"/>
          <w:lang w:eastAsia="ja-JP"/>
        </w:rPr>
        <w:t>[38]</w:t>
      </w:r>
      <w:r w:rsidR="00277B96" w:rsidRPr="00156C9E">
        <w:rPr>
          <w:rFonts w:ascii="Times New Roman" w:eastAsia="ＭＳ Ｐ明朝" w:hAnsi="Times New Roman" w:cs="Times New Roman"/>
          <w:sz w:val="18"/>
          <w:szCs w:val="21"/>
        </w:rPr>
        <w:fldChar w:fldCharType="end"/>
      </w:r>
      <w:r w:rsidR="00277B96" w:rsidRPr="00156C9E">
        <w:rPr>
          <w:rFonts w:ascii="Times New Roman" w:eastAsia="ＭＳ Ｐ明朝" w:hAnsi="Times New Roman" w:cs="Times New Roman"/>
          <w:sz w:val="18"/>
          <w:szCs w:val="21"/>
          <w:lang w:eastAsia="ja-JP"/>
        </w:rPr>
        <w:t xml:space="preserve">. </w:t>
      </w:r>
    </w:p>
    <w:p w14:paraId="16166497" w14:textId="77777777" w:rsidR="00156C9E" w:rsidRDefault="00156C9E">
      <w:pPr>
        <w:pStyle w:val="a3"/>
        <w:rPr>
          <w:rFonts w:ascii="Times New Roman" w:eastAsia="ＭＳ Ｐ明朝" w:hAnsi="Times New Roman"/>
          <w:sz w:val="20"/>
          <w:szCs w:val="21"/>
          <w:lang w:eastAsia="ja-JP"/>
        </w:rPr>
      </w:pPr>
    </w:p>
    <w:p w14:paraId="6C73A869" w14:textId="5E7DAB02"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すべての機関が、外</w:t>
      </w:r>
      <w:r w:rsidR="00DF3961" w:rsidRPr="00F46EF2">
        <w:rPr>
          <w:rFonts w:ascii="Times New Roman" w:eastAsia="ＭＳ Ｐ明朝" w:hAnsi="Times New Roman"/>
          <w:sz w:val="20"/>
          <w:szCs w:val="21"/>
          <w:lang w:eastAsia="ja-JP"/>
        </w:rPr>
        <w:t>挿を実施する必要があるとして、</w:t>
      </w:r>
      <w:r w:rsidRPr="00F46EF2">
        <w:rPr>
          <w:rFonts w:ascii="Times New Roman" w:eastAsia="ＭＳ Ｐ明朝" w:hAnsi="Times New Roman"/>
          <w:sz w:val="20"/>
          <w:szCs w:val="21"/>
          <w:lang w:eastAsia="ja-JP"/>
        </w:rPr>
        <w:t>モデルで使用する時間地平は、介入の関連する便益と費用をすべて把握するのに十分な長さであることを推奨している</w:t>
      </w:r>
      <w:r w:rsidR="00DF3961" w:rsidRPr="00F46EF2">
        <w:rPr>
          <w:rFonts w:ascii="Times New Roman" w:eastAsia="ＭＳ Ｐ明朝" w:hAnsi="Times New Roman"/>
          <w:sz w:val="20"/>
          <w:szCs w:val="21"/>
          <w:lang w:eastAsia="ja-JP"/>
        </w:rPr>
        <w:t>。その中で、</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のみが、</w:t>
      </w:r>
      <w:r w:rsidR="00DF3961" w:rsidRPr="00F46EF2">
        <w:rPr>
          <w:rFonts w:ascii="Times New Roman" w:eastAsia="ＭＳ Ｐ明朝" w:hAnsi="Times New Roman"/>
          <w:sz w:val="20"/>
          <w:szCs w:val="21"/>
          <w:lang w:eastAsia="ja-JP"/>
        </w:rPr>
        <w:t>モデルの時間軸（したがって外挿の範囲）が</w:t>
      </w:r>
      <w:r w:rsidRPr="00F46EF2">
        <w:rPr>
          <w:rFonts w:ascii="Times New Roman" w:eastAsia="ＭＳ Ｐ明朝" w:hAnsi="Times New Roman"/>
          <w:sz w:val="20"/>
          <w:szCs w:val="21"/>
          <w:lang w:eastAsia="ja-JP"/>
        </w:rPr>
        <w:t>不必要に長くならないように注意すべきであると明確に述べており、外挿の延長が</w:t>
      </w:r>
      <w:r w:rsidR="009169C1" w:rsidRPr="00F46EF2">
        <w:rPr>
          <w:rFonts w:ascii="Times New Roman" w:eastAsia="ＭＳ Ｐ明朝" w:hAnsi="Times New Roman"/>
          <w:sz w:val="20"/>
          <w:szCs w:val="21"/>
          <w:lang w:eastAsia="ja-JP"/>
        </w:rPr>
        <w:t>意思決定</w:t>
      </w:r>
      <w:r w:rsidRPr="00F46EF2">
        <w:rPr>
          <w:rFonts w:ascii="Times New Roman" w:eastAsia="ＭＳ Ｐ明朝" w:hAnsi="Times New Roman"/>
          <w:sz w:val="20"/>
          <w:szCs w:val="21"/>
          <w:lang w:eastAsia="ja-JP"/>
        </w:rPr>
        <w:t>プロセスにもたらす不確実性を認めている。同様に</w:t>
      </w:r>
      <w:r w:rsidR="00DF3961"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すべての機関がより短い時間地平を容認しているが、</w:t>
      </w:r>
      <w:r w:rsidRPr="00F46EF2">
        <w:rPr>
          <w:rFonts w:ascii="Times New Roman" w:eastAsia="ＭＳ Ｐ明朝" w:hAnsi="Times New Roman"/>
          <w:sz w:val="20"/>
          <w:szCs w:val="21"/>
          <w:lang w:eastAsia="ja-JP"/>
        </w:rPr>
        <w:t>PBAC/MSAC</w:t>
      </w:r>
      <w:r w:rsidRPr="00F46EF2">
        <w:rPr>
          <w:rFonts w:ascii="Times New Roman" w:eastAsia="ＭＳ Ｐ明朝" w:hAnsi="Times New Roman"/>
          <w:sz w:val="20"/>
          <w:szCs w:val="21"/>
          <w:lang w:eastAsia="ja-JP"/>
        </w:rPr>
        <w:t>（イングランド・ウェールズ、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（ニュージーランド）、</w:t>
      </w:r>
      <w:r w:rsidRPr="00F46EF2">
        <w:rPr>
          <w:rFonts w:ascii="Times New Roman" w:eastAsia="ＭＳ Ｐ明朝" w:hAnsi="Times New Roman"/>
          <w:sz w:val="20"/>
          <w:szCs w:val="21"/>
          <w:lang w:eastAsia="ja-JP"/>
        </w:rPr>
        <w:t>NoMA</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（スウェーデン）の</w:t>
      </w:r>
      <w:r w:rsidR="00DF3961" w:rsidRPr="00F46EF2">
        <w:rPr>
          <w:rFonts w:ascii="Times New Roman" w:eastAsia="ＭＳ Ｐ明朝" w:hAnsi="Times New Roman"/>
          <w:sz w:val="20"/>
          <w:szCs w:val="21"/>
          <w:lang w:eastAsia="ja-JP"/>
        </w:rPr>
        <w:t>ガイドラインだけが、</w:t>
      </w:r>
      <w:r w:rsidRPr="00F46EF2">
        <w:rPr>
          <w:rFonts w:ascii="Times New Roman" w:eastAsia="ＭＳ Ｐ明朝" w:hAnsi="Times New Roman"/>
          <w:sz w:val="20"/>
          <w:szCs w:val="21"/>
          <w:lang w:eastAsia="ja-JP"/>
        </w:rPr>
        <w:t>死亡率に影響を与えない、あるいは一時的な健康や</w:t>
      </w:r>
      <w:r w:rsidR="00DF3961" w:rsidRPr="00F46EF2">
        <w:rPr>
          <w:rFonts w:ascii="Times New Roman" w:eastAsia="ＭＳ Ｐ明朝" w:hAnsi="Times New Roman"/>
          <w:sz w:val="20"/>
          <w:szCs w:val="21"/>
          <w:lang w:eastAsia="ja-JP"/>
        </w:rPr>
        <w:t>QoL</w:t>
      </w:r>
      <w:r w:rsidR="00DF3961" w:rsidRPr="00F46EF2">
        <w:rPr>
          <w:rFonts w:ascii="Times New Roman" w:eastAsia="ＭＳ Ｐ明朝" w:hAnsi="Times New Roman"/>
          <w:sz w:val="20"/>
          <w:szCs w:val="21"/>
          <w:lang w:eastAsia="ja-JP"/>
        </w:rPr>
        <w:t>への</w:t>
      </w:r>
      <w:r w:rsidRPr="00F46EF2">
        <w:rPr>
          <w:rFonts w:ascii="Times New Roman" w:eastAsia="ＭＳ Ｐ明朝" w:hAnsi="Times New Roman"/>
          <w:sz w:val="20"/>
          <w:szCs w:val="21"/>
          <w:lang w:eastAsia="ja-JP"/>
        </w:rPr>
        <w:t>影響を伴う介入については、より短い時間地平が適切である可能性があると明確に助言している。</w:t>
      </w:r>
    </w:p>
    <w:p w14:paraId="2C10ACD2"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将来、ワクチンの恩恵が発生した場合、そのデータの外挿に関する特有の問題が発生する。</w:t>
      </w:r>
      <w:r w:rsidR="0093575D" w:rsidRPr="00F46EF2">
        <w:rPr>
          <w:rFonts w:ascii="Times New Roman" w:eastAsia="ＭＳ Ｐ明朝" w:hAnsi="Times New Roman"/>
          <w:sz w:val="20"/>
          <w:szCs w:val="21"/>
        </w:rPr>
        <w:t>オーストラリアでは</w:t>
      </w:r>
      <w:r w:rsidR="00693DEE" w:rsidRPr="00F46EF2">
        <w:rPr>
          <w:rFonts w:ascii="Times New Roman" w:eastAsia="ＭＳ Ｐ明朝" w:hAnsi="Times New Roman"/>
          <w:sz w:val="20"/>
          <w:szCs w:val="21"/>
        </w:rPr>
        <w:t>、</w:t>
      </w:r>
      <w:r w:rsidR="00693DEE" w:rsidRPr="00F46EF2">
        <w:rPr>
          <w:rFonts w:ascii="Times New Roman" w:eastAsia="ＭＳ Ｐ明朝" w:hAnsi="Times New Roman"/>
          <w:sz w:val="20"/>
          <w:szCs w:val="21"/>
        </w:rPr>
        <w:t>Australian</w:t>
      </w:r>
      <w:proofErr w:type="spellEnd"/>
      <w:r w:rsidR="00693DEE" w:rsidRPr="00F46EF2">
        <w:rPr>
          <w:rFonts w:ascii="Times New Roman" w:eastAsia="ＭＳ Ｐ明朝" w:hAnsi="Times New Roman"/>
          <w:sz w:val="20"/>
          <w:szCs w:val="21"/>
        </w:rPr>
        <w:t xml:space="preserve"> Technical Advisory Group on Immunisation (ATAGI)</w:t>
      </w:r>
      <w:r w:rsidR="00693DEE" w:rsidRPr="00F46EF2">
        <w:rPr>
          <w:rFonts w:ascii="Times New Roman" w:eastAsia="ＭＳ Ｐ明朝" w:hAnsi="Times New Roman"/>
          <w:sz w:val="20"/>
          <w:szCs w:val="21"/>
        </w:rPr>
        <w:t>が</w:t>
      </w:r>
      <w:r w:rsidR="00693DEE" w:rsidRPr="00F46EF2">
        <w:rPr>
          <w:rFonts w:ascii="Times New Roman" w:eastAsia="ＭＳ Ｐ明朝" w:hAnsi="Times New Roman"/>
          <w:sz w:val="20"/>
          <w:szCs w:val="21"/>
        </w:rPr>
        <w:t>PBAC</w:t>
      </w:r>
      <w:r w:rsidR="00693DEE" w:rsidRPr="00F46EF2">
        <w:rPr>
          <w:rFonts w:ascii="Times New Roman" w:eastAsia="ＭＳ Ｐ明朝" w:hAnsi="Times New Roman"/>
          <w:sz w:val="20"/>
          <w:szCs w:val="21"/>
        </w:rPr>
        <w:t>と密接に連携し、ワクチン評価に関する助言を行っている。</w:t>
      </w:r>
      <w:r w:rsidR="00693DEE" w:rsidRPr="00F46EF2">
        <w:rPr>
          <w:rFonts w:ascii="Times New Roman" w:eastAsia="ＭＳ Ｐ明朝" w:hAnsi="Times New Roman"/>
          <w:sz w:val="20"/>
          <w:szCs w:val="21"/>
          <w:lang w:eastAsia="ja-JP"/>
        </w:rPr>
        <w:t>スポンサー／メーカーは、様々な集団や環境における有効性推定値の適用可能性、代替アウトカムに基</w:t>
      </w:r>
      <w:r w:rsidR="00693DEE" w:rsidRPr="00F46EF2">
        <w:rPr>
          <w:rFonts w:ascii="Times New Roman" w:eastAsia="ＭＳ Ｐ明朝" w:hAnsi="Times New Roman"/>
          <w:sz w:val="20"/>
          <w:szCs w:val="21"/>
          <w:lang w:eastAsia="ja-JP"/>
        </w:rPr>
        <w:t xml:space="preserve"> </w:t>
      </w:r>
      <w:proofErr w:type="spellStart"/>
      <w:r w:rsidR="00693DEE" w:rsidRPr="00F46EF2">
        <w:rPr>
          <w:rFonts w:ascii="Times New Roman" w:eastAsia="ＭＳ Ｐ明朝" w:hAnsi="Times New Roman"/>
          <w:sz w:val="20"/>
          <w:szCs w:val="21"/>
          <w:lang w:eastAsia="ja-JP"/>
        </w:rPr>
        <w:t>づく臨床予測の妥当性、長期にわたる有効性の外挿、地域社会全体および／また</w:t>
      </w:r>
      <w:r w:rsidR="00693DEE" w:rsidRPr="00F46EF2">
        <w:rPr>
          <w:rFonts w:ascii="Times New Roman" w:eastAsia="ＭＳ Ｐ明朝" w:hAnsi="Times New Roman"/>
          <w:sz w:val="20"/>
          <w:szCs w:val="21"/>
          <w:lang w:eastAsia="ja-JP"/>
        </w:rPr>
        <w:lastRenderedPageBreak/>
        <w:t>は地域社会内の選</w:t>
      </w:r>
      <w:proofErr w:type="spellEnd"/>
      <w:r w:rsidR="00693DEE" w:rsidRPr="00F46EF2">
        <w:rPr>
          <w:rFonts w:ascii="Times New Roman" w:eastAsia="ＭＳ Ｐ明朝" w:hAnsi="Times New Roman"/>
          <w:sz w:val="20"/>
          <w:szCs w:val="21"/>
          <w:lang w:eastAsia="ja-JP"/>
        </w:rPr>
        <w:t xml:space="preserve"> </w:t>
      </w:r>
      <w:r w:rsidR="00693DEE" w:rsidRPr="00F46EF2">
        <w:rPr>
          <w:rFonts w:ascii="Times New Roman" w:eastAsia="ＭＳ Ｐ明朝" w:hAnsi="Times New Roman"/>
          <w:sz w:val="20"/>
          <w:szCs w:val="21"/>
          <w:lang w:eastAsia="ja-JP"/>
        </w:rPr>
        <w:t>択された下位集団などの問題について、</w:t>
      </w:r>
      <w:r w:rsidR="00693DEE" w:rsidRPr="00F46EF2">
        <w:rPr>
          <w:rFonts w:ascii="Times New Roman" w:eastAsia="ＭＳ Ｐ明朝" w:hAnsi="Times New Roman"/>
          <w:sz w:val="20"/>
          <w:szCs w:val="21"/>
          <w:lang w:eastAsia="ja-JP"/>
        </w:rPr>
        <w:t>ATAGI</w:t>
      </w:r>
      <w:r w:rsidR="00693DEE" w:rsidRPr="00F46EF2">
        <w:rPr>
          <w:rFonts w:ascii="Times New Roman" w:eastAsia="ＭＳ Ｐ明朝" w:hAnsi="Times New Roman"/>
          <w:sz w:val="20"/>
          <w:szCs w:val="21"/>
          <w:lang w:eastAsia="ja-JP"/>
        </w:rPr>
        <w:t>に助言を求めることが求められる。</w:t>
      </w:r>
      <w:r w:rsidR="00693DEE" w:rsidRPr="00F46EF2">
        <w:rPr>
          <w:rFonts w:ascii="Times New Roman" w:eastAsia="ＭＳ Ｐ明朝" w:hAnsi="Times New Roman"/>
          <w:sz w:val="20"/>
          <w:szCs w:val="21"/>
          <w:lang w:eastAsia="ja-JP"/>
        </w:rPr>
        <w:t>ATAGI</w:t>
      </w:r>
      <w:r w:rsidR="00693DEE" w:rsidRPr="00F46EF2">
        <w:rPr>
          <w:rFonts w:ascii="Times New Roman" w:eastAsia="ＭＳ Ｐ明朝" w:hAnsi="Times New Roman"/>
          <w:sz w:val="20"/>
          <w:szCs w:val="21"/>
          <w:lang w:eastAsia="ja-JP"/>
        </w:rPr>
        <w:t>はまた、集団免疫、年齢効果、費用対効果モデリングに組み込まれる主要なワクチン関連パラメータに関する仮定に関する具体的な助言を提供している。</w:t>
      </w:r>
      <w:r w:rsidR="00693DEE" w:rsidRPr="00F46EF2">
        <w:rPr>
          <w:rFonts w:ascii="Times New Roman" w:eastAsia="ＭＳ Ｐ明朝" w:hAnsi="Times New Roman"/>
          <w:sz w:val="20"/>
          <w:szCs w:val="21"/>
          <w:lang w:eastAsia="ja-JP"/>
        </w:rPr>
        <w:t xml:space="preserve"> </w:t>
      </w:r>
      <w:r w:rsidR="002C3FE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Government&lt;/Author&gt;&lt;Year&gt;2019&lt;/Year&gt;&lt;RecNum&gt;361&lt;/RecNum&gt;&lt;DisplayText&gt;[39]&lt;/DisplayText&gt;&lt;record&gt;&lt;rec-number&gt;361&lt;/rec-number&gt;&lt;foreign-keys&gt;&lt;key app="EN" db-id="z25xddsz659sshedpdu5pda3dswx20f99sf9" timestamp="1695511786"&gt;361&lt;/key&gt;&lt;/foreign-keys&gt;&lt;ref-type name="Government Document"&gt;46&lt;/ref-type&gt;&lt;contributors&gt;&lt;authors&gt;&lt;author&gt;Australian Government,&lt;/author&gt;&lt;/authors&gt;&lt;secondary-authors&gt;&lt;author&gt;Department of Health and Aged Care,&lt;/author&gt;&lt;/secondary-authors&gt;&lt;/contributors&gt;&lt;titles&gt;&lt;title&gt;Guidelines for preparing a request for advice from the Australian Technical Advisory Group on Immunisation (ATAGI) to support Pharmaceutical Benefits Advisory Committee (PBAC) consideration of vaccines Version 3 (Final) February 2019&lt;/title&gt;&lt;/titles&gt;&lt;dates&gt;&lt;year&gt;2019&lt;/year&gt;&lt;/dates&gt;&lt;urls&gt;&lt;related-urls&gt;&lt;url&gt;https://www.health.gov.au/sites/default/files/documents/2020/05/atagi-pre-submission-advice-for-industry-sponsors-wishing-to-make-a-pbac-submission-guidelines_0.pdf&lt;/url&gt;&lt;/related-urls&gt;&lt;/urls&gt;&lt;/record&gt;&lt;/Cite&gt;&lt;/EndNote&gt;</w:instrText>
      </w:r>
      <w:r w:rsidR="002C3FE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[39]</w:t>
      </w:r>
      <w:r w:rsidR="002C3FEF" w:rsidRPr="00F46EF2">
        <w:rPr>
          <w:rFonts w:ascii="Times New Roman" w:eastAsia="ＭＳ Ｐ明朝" w:hAnsi="Times New Roman"/>
          <w:sz w:val="20"/>
          <w:szCs w:val="21"/>
        </w:rPr>
        <w:fldChar w:fldCharType="end"/>
      </w:r>
      <w:r w:rsidR="002C3FEF" w:rsidRPr="00F46EF2">
        <w:rPr>
          <w:rFonts w:ascii="Times New Roman" w:eastAsia="ＭＳ Ｐ明朝" w:hAnsi="Times New Roman"/>
          <w:sz w:val="20"/>
          <w:szCs w:val="21"/>
          <w:lang w:eastAsia="ja-JP"/>
        </w:rPr>
        <w:t xml:space="preserve">. </w:t>
      </w:r>
    </w:p>
    <w:p w14:paraId="16C2C4B1" w14:textId="77777777" w:rsidR="00FF745D" w:rsidRPr="00F46EF2" w:rsidRDefault="00574797">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CHERE</w:t>
      </w:r>
      <w:r w:rsidRPr="00F46EF2">
        <w:rPr>
          <w:rFonts w:ascii="Times New Roman" w:eastAsia="ＭＳ Ｐ明朝" w:hAnsi="Times New Roman"/>
          <w:sz w:val="20"/>
          <w:szCs w:val="21"/>
          <w:lang w:eastAsia="ja-JP"/>
        </w:rPr>
        <w:t>が</w:t>
      </w:r>
      <w:r w:rsidR="00DF3961" w:rsidRPr="00F46EF2">
        <w:rPr>
          <w:rFonts w:ascii="Times New Roman" w:eastAsia="ＭＳ Ｐ明朝" w:hAnsi="Times New Roman"/>
          <w:sz w:val="20"/>
          <w:szCs w:val="21"/>
          <w:lang w:eastAsia="ja-JP"/>
        </w:rPr>
        <w:t>作成</w:t>
      </w:r>
      <w:r w:rsidRPr="00F46EF2">
        <w:rPr>
          <w:rFonts w:ascii="Times New Roman" w:eastAsia="ＭＳ Ｐ明朝" w:hAnsi="Times New Roman"/>
          <w:sz w:val="20"/>
          <w:szCs w:val="21"/>
          <w:lang w:eastAsia="ja-JP"/>
        </w:rPr>
        <w:t>し、</w:t>
      </w:r>
      <w:r w:rsidR="00EB207C" w:rsidRPr="00F46EF2">
        <w:rPr>
          <w:rFonts w:ascii="Times New Roman" w:eastAsia="ＭＳ Ｐ明朝" w:hAnsi="Times New Roman"/>
          <w:sz w:val="20"/>
          <w:szCs w:val="21"/>
          <w:lang w:eastAsia="ja-JP"/>
        </w:rPr>
        <w:t>2022</w:t>
      </w:r>
      <w:r w:rsidR="00EB207C" w:rsidRPr="00F46EF2">
        <w:rPr>
          <w:rFonts w:ascii="Times New Roman" w:eastAsia="ＭＳ Ｐ明朝" w:hAnsi="Times New Roman"/>
          <w:sz w:val="20"/>
          <w:szCs w:val="21"/>
          <w:lang w:eastAsia="ja-JP"/>
        </w:rPr>
        <w:t>年に</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が見直した、国際的な基準割引率の見直しに関する報告書に示されている</w:t>
      </w:r>
      <w:r w:rsidR="00000000" w:rsidRPr="00F46EF2">
        <w:rPr>
          <w:rFonts w:ascii="Times New Roman" w:eastAsia="ＭＳ Ｐ明朝" w:hAnsi="Times New Roman"/>
          <w:sz w:val="20"/>
          <w:szCs w:val="21"/>
          <w:lang w:eastAsia="ja-JP"/>
        </w:rPr>
        <w:t>通りである。</w:t>
      </w:r>
      <w:r w:rsidR="00000000"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&lt;EndNote&gt;&lt;Cite&gt;&lt;Author&gt;Department of Health and Aged Care&lt;/Author&gt;&lt;Year&gt;2022&lt;/Year&gt;&lt;RecNum&gt;63&lt;/RecNum&gt;&lt;DisplayText&gt;[40]&lt;/DisplayText&gt;&lt;record&gt;&lt;rec-number&gt;63&lt;/rec-number&gt;&lt;foreign-keys&gt;&lt;key app="EN" db-id="z25xddsz659sshedpdu5pda3dswx20f99sf9" timestamp="1692001884"&gt;63&lt;/key&gt;&lt;/foreign-keys&gt;&lt;ref-type name="Government Document"&gt;46&lt;/ref-type&gt;&lt;contributors&gt;&lt;authors&gt;&lt;author&gt;Department of Health and Aged Care, &lt;/author&gt;&lt;/authors&gt;&lt;/contributors&gt;&lt;titles&gt;&lt;title&gt;Review of discount rate in the PBAC guidelines&lt;/title&gt;&lt;/titles&gt;&lt;dates&gt;&lt;year&gt;2022&lt;/year&gt;&lt;/dates&gt;&lt;urls&gt;&lt;related-urls&gt;&lt;url&gt;https://ohta-consultations.health.gov.au/ohta/review-of-discount-rate-in-the-pbac-guidelines-pha&lt;/url&gt;&lt;/related-urls&gt;&lt;/urls&gt;&lt;language&gt;English&lt;/language&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[40]</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コストと便益の割引に</w:t>
      </w:r>
      <w:r w:rsidR="00DF3961" w:rsidRPr="00F46EF2">
        <w:rPr>
          <w:rFonts w:ascii="Times New Roman" w:eastAsia="ＭＳ Ｐ明朝" w:hAnsi="Times New Roman"/>
          <w:sz w:val="20"/>
          <w:szCs w:val="21"/>
          <w:lang w:eastAsia="ja-JP"/>
        </w:rPr>
        <w:t>適用される割引率については、</w:t>
      </w:r>
      <w:r w:rsidR="0064555B" w:rsidRPr="00F46EF2">
        <w:rPr>
          <w:rFonts w:ascii="Times New Roman" w:eastAsia="ＭＳ Ｐ明朝" w:hAnsi="Times New Roman"/>
          <w:sz w:val="20"/>
          <w:szCs w:val="21"/>
          <w:lang w:eastAsia="ja-JP"/>
        </w:rPr>
        <w:t>法域</w:t>
      </w:r>
      <w:r w:rsidR="00DF3961" w:rsidRPr="00F46EF2">
        <w:rPr>
          <w:rFonts w:ascii="Times New Roman" w:eastAsia="ＭＳ Ｐ明朝" w:hAnsi="Times New Roman"/>
          <w:sz w:val="20"/>
          <w:szCs w:val="21"/>
          <w:lang w:eastAsia="ja-JP"/>
        </w:rPr>
        <w:t>間で</w:t>
      </w:r>
      <w:r w:rsidR="00C56872" w:rsidRPr="00F46EF2">
        <w:rPr>
          <w:rFonts w:ascii="Times New Roman" w:eastAsia="ＭＳ Ｐ明朝" w:hAnsi="Times New Roman"/>
          <w:sz w:val="20"/>
          <w:szCs w:val="21"/>
          <w:lang w:eastAsia="ja-JP"/>
        </w:rPr>
        <w:t>かなりの</w:t>
      </w:r>
      <w:r w:rsidR="00DF3961" w:rsidRPr="00F46EF2">
        <w:rPr>
          <w:rFonts w:ascii="Times New Roman" w:eastAsia="ＭＳ Ｐ明朝" w:hAnsi="Times New Roman"/>
          <w:sz w:val="20"/>
          <w:szCs w:val="21"/>
          <w:lang w:eastAsia="ja-JP"/>
        </w:rPr>
        <w:t>共通性がある。その</w:t>
      </w:r>
      <w:r w:rsidRPr="00F46EF2">
        <w:rPr>
          <w:rFonts w:ascii="Times New Roman" w:eastAsia="ＭＳ Ｐ明朝" w:hAnsi="Times New Roman"/>
          <w:sz w:val="20"/>
          <w:szCs w:val="21"/>
          <w:lang w:eastAsia="ja-JP"/>
        </w:rPr>
        <w:t>分析に含まれた</w:t>
      </w:r>
      <w:r w:rsidRPr="00F46EF2">
        <w:rPr>
          <w:rFonts w:ascii="Times New Roman" w:eastAsia="ＭＳ Ｐ明朝" w:hAnsi="Times New Roman"/>
          <w:sz w:val="20"/>
          <w:szCs w:val="21"/>
          <w:lang w:eastAsia="ja-JP"/>
        </w:rPr>
        <w:t>19</w:t>
      </w:r>
      <w:r w:rsidRPr="00F46EF2">
        <w:rPr>
          <w:rFonts w:ascii="Times New Roman" w:eastAsia="ＭＳ Ｐ明朝" w:hAnsi="Times New Roman"/>
          <w:sz w:val="20"/>
          <w:szCs w:val="21"/>
          <w:lang w:eastAsia="ja-JP"/>
        </w:rPr>
        <w:t>の国・</w:t>
      </w:r>
      <w:r w:rsidR="0064555B" w:rsidRPr="00F46EF2">
        <w:rPr>
          <w:rFonts w:ascii="Times New Roman" w:eastAsia="ＭＳ Ｐ明朝" w:hAnsi="Times New Roman"/>
          <w:sz w:val="20"/>
          <w:szCs w:val="21"/>
          <w:lang w:eastAsia="ja-JP"/>
        </w:rPr>
        <w:t>地域の中で</w:t>
      </w:r>
      <w:r w:rsidRPr="00F46EF2">
        <w:rPr>
          <w:rFonts w:ascii="Times New Roman" w:eastAsia="ＭＳ Ｐ明朝" w:hAnsi="Times New Roman"/>
          <w:sz w:val="20"/>
          <w:szCs w:val="21"/>
          <w:lang w:eastAsia="ja-JP"/>
        </w:rPr>
        <w:t>、現在の</w:t>
      </w:r>
      <w:r w:rsidR="00DF3961" w:rsidRPr="00F46EF2">
        <w:rPr>
          <w:rFonts w:ascii="Times New Roman" w:eastAsia="ＭＳ Ｐ明朝" w:hAnsi="Times New Roman"/>
          <w:sz w:val="20"/>
          <w:szCs w:val="21"/>
          <w:lang w:eastAsia="ja-JP"/>
        </w:rPr>
        <w:t>コストと医療便益の</w:t>
      </w:r>
      <w:r w:rsidRPr="00F46EF2">
        <w:rPr>
          <w:rFonts w:ascii="Times New Roman" w:eastAsia="ＭＳ Ｐ明朝" w:hAnsi="Times New Roman"/>
          <w:sz w:val="20"/>
          <w:szCs w:val="21"/>
          <w:lang w:eastAsia="ja-JP"/>
        </w:rPr>
        <w:t>割引率は</w:t>
      </w:r>
      <w:r w:rsidRPr="00F46EF2">
        <w:rPr>
          <w:rFonts w:ascii="Times New Roman" w:eastAsia="ＭＳ Ｐ明朝" w:hAnsi="Times New Roman"/>
          <w:sz w:val="20"/>
          <w:szCs w:val="21"/>
          <w:lang w:eastAsia="ja-JP"/>
        </w:rPr>
        <w:t>1.5</w:t>
      </w:r>
      <w:r w:rsidRPr="00F46EF2">
        <w:rPr>
          <w:rFonts w:ascii="Times New Roman" w:eastAsia="ＭＳ Ｐ明朝" w:hAnsi="Times New Roman"/>
          <w:sz w:val="20"/>
          <w:szCs w:val="21"/>
          <w:lang w:eastAsia="ja-JP"/>
        </w:rPr>
        <w:t>％から</w:t>
      </w:r>
      <w:r w:rsidRPr="00F46EF2">
        <w:rPr>
          <w:rFonts w:ascii="Times New Roman" w:eastAsia="ＭＳ Ｐ明朝" w:hAnsi="Times New Roman"/>
          <w:sz w:val="20"/>
          <w:szCs w:val="21"/>
          <w:lang w:eastAsia="ja-JP"/>
        </w:rPr>
        <w:t>5</w:t>
      </w:r>
      <w:r w:rsidRPr="00F46EF2">
        <w:rPr>
          <w:rFonts w:ascii="Times New Roman" w:eastAsia="ＭＳ Ｐ明朝" w:hAnsi="Times New Roman"/>
          <w:sz w:val="20"/>
          <w:szCs w:val="21"/>
          <w:lang w:eastAsia="ja-JP"/>
        </w:rPr>
        <w:t>％の範囲にあり、</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5</w:t>
      </w:r>
      <w:r w:rsidRPr="00F46EF2">
        <w:rPr>
          <w:rFonts w:ascii="Times New Roman" w:eastAsia="ＭＳ Ｐ明朝" w:hAnsi="Times New Roman"/>
          <w:sz w:val="20"/>
          <w:szCs w:val="21"/>
          <w:lang w:eastAsia="ja-JP"/>
        </w:rPr>
        <w:t>％が最も一般的であった（</w:t>
      </w:r>
      <w:r w:rsidR="00DF3961" w:rsidRPr="00F46EF2">
        <w:rPr>
          <w:rFonts w:ascii="Times New Roman" w:eastAsia="ＭＳ Ｐ明朝" w:hAnsi="Times New Roman"/>
          <w:sz w:val="20"/>
          <w:szCs w:val="21"/>
          <w:lang w:eastAsia="ja-JP"/>
        </w:rPr>
        <w:t>それぞれ</w:t>
      </w:r>
      <w:r w:rsidRPr="00F46EF2">
        <w:rPr>
          <w:rFonts w:ascii="Times New Roman" w:eastAsia="ＭＳ Ｐ明朝" w:hAnsi="Times New Roman"/>
          <w:sz w:val="20"/>
          <w:szCs w:val="21"/>
          <w:lang w:eastAsia="ja-JP"/>
        </w:rPr>
        <w:t>19</w:t>
      </w:r>
      <w:r w:rsidRPr="00F46EF2">
        <w:rPr>
          <w:rFonts w:ascii="Times New Roman" w:eastAsia="ＭＳ Ｐ明朝" w:hAnsi="Times New Roman"/>
          <w:sz w:val="20"/>
          <w:szCs w:val="21"/>
          <w:lang w:eastAsia="ja-JP"/>
        </w:rPr>
        <w:t>カ国中</w:t>
      </w:r>
      <w:r w:rsidRPr="00F46EF2">
        <w:rPr>
          <w:rFonts w:ascii="Times New Roman" w:eastAsia="ＭＳ Ｐ明朝" w:hAnsi="Times New Roman"/>
          <w:sz w:val="20"/>
          <w:szCs w:val="21"/>
          <w:lang w:eastAsia="ja-JP"/>
        </w:rPr>
        <w:t>5</w:t>
      </w:r>
      <w:r w:rsidRPr="00F46EF2">
        <w:rPr>
          <w:rFonts w:ascii="Times New Roman" w:eastAsia="ＭＳ Ｐ明朝" w:hAnsi="Times New Roman"/>
          <w:sz w:val="20"/>
          <w:szCs w:val="21"/>
          <w:lang w:eastAsia="ja-JP"/>
        </w:rPr>
        <w:t>カ国（</w:t>
      </w:r>
      <w:r w:rsidRPr="00F46EF2">
        <w:rPr>
          <w:rFonts w:ascii="Times New Roman" w:eastAsia="ＭＳ Ｐ明朝" w:hAnsi="Times New Roman"/>
          <w:sz w:val="20"/>
          <w:szCs w:val="21"/>
          <w:lang w:eastAsia="ja-JP"/>
        </w:rPr>
        <w:t>26</w:t>
      </w:r>
      <w:r w:rsidRPr="00F46EF2">
        <w:rPr>
          <w:rFonts w:ascii="Times New Roman" w:eastAsia="ＭＳ Ｐ明朝" w:hAnsi="Times New Roman"/>
          <w:sz w:val="20"/>
          <w:szCs w:val="21"/>
          <w:lang w:eastAsia="ja-JP"/>
        </w:rPr>
        <w:t>％））。ベルギー（現在、差引割引を適用）</w:t>
      </w:r>
      <w:r w:rsidR="00DF3961"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フランスと英国（いずれも過去のある時点では差引割引を推奨していたが、現在は均等割引を推奨）は例外である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90069F4"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検討された機関の大半は、</w:t>
      </w:r>
      <w:r w:rsidRPr="00F46EF2">
        <w:rPr>
          <w:rFonts w:ascii="Times New Roman" w:eastAsia="ＭＳ Ｐ明朝" w:hAnsi="Times New Roman"/>
          <w:sz w:val="20"/>
          <w:szCs w:val="21"/>
          <w:lang w:eastAsia="ja-JP"/>
        </w:rPr>
        <w:t>PBAC/MSAC</w:t>
      </w:r>
      <w:r w:rsidRPr="00F46EF2">
        <w:rPr>
          <w:rFonts w:ascii="Times New Roman" w:eastAsia="ＭＳ Ｐ明朝" w:hAnsi="Times New Roman"/>
          <w:sz w:val="20"/>
          <w:szCs w:val="21"/>
          <w:lang w:eastAsia="ja-JP"/>
        </w:rPr>
        <w:t>が推奨する固定割引率を長期にわたって</w:t>
      </w:r>
      <w:r w:rsidR="00DF3961" w:rsidRPr="00F46EF2">
        <w:rPr>
          <w:rFonts w:ascii="Times New Roman" w:eastAsia="ＭＳ Ｐ明朝" w:hAnsi="Times New Roman"/>
          <w:sz w:val="20"/>
          <w:szCs w:val="21"/>
          <w:lang w:eastAsia="ja-JP"/>
        </w:rPr>
        <w:t>適用することに</w:t>
      </w:r>
      <w:r w:rsidRPr="00F46EF2">
        <w:rPr>
          <w:rFonts w:ascii="Times New Roman" w:eastAsia="ＭＳ Ｐ明朝" w:hAnsi="Times New Roman"/>
          <w:sz w:val="20"/>
          <w:szCs w:val="21"/>
          <w:lang w:eastAsia="ja-JP"/>
        </w:rPr>
        <w:t>沿ったものであった。この報告書では、</w:t>
      </w:r>
      <w:r w:rsidR="0064555B" w:rsidRPr="00F46EF2">
        <w:rPr>
          <w:rFonts w:ascii="Times New Roman" w:eastAsia="ＭＳ Ｐ明朝" w:hAnsi="Times New Roman"/>
          <w:sz w:val="20"/>
          <w:szCs w:val="21"/>
          <w:lang w:eastAsia="ja-JP"/>
        </w:rPr>
        <w:t>各機関が割引</w:t>
      </w:r>
      <w:r w:rsidRPr="00F46EF2">
        <w:rPr>
          <w:rFonts w:ascii="Times New Roman" w:eastAsia="ＭＳ Ｐ明朝" w:hAnsi="Times New Roman"/>
          <w:sz w:val="20"/>
          <w:szCs w:val="21"/>
          <w:lang w:eastAsia="ja-JP"/>
        </w:rPr>
        <w:t>率を</w:t>
      </w:r>
      <w:r w:rsidR="00783360" w:rsidRPr="00F46EF2">
        <w:rPr>
          <w:rFonts w:ascii="Times New Roman" w:eastAsia="ＭＳ Ｐ明朝" w:hAnsi="Times New Roman"/>
          <w:sz w:val="20"/>
          <w:szCs w:val="21"/>
          <w:lang w:eastAsia="ja-JP"/>
        </w:rPr>
        <w:t>選択する</w:t>
      </w:r>
      <w:r w:rsidRPr="00F46EF2">
        <w:rPr>
          <w:rFonts w:ascii="Times New Roman" w:eastAsia="ＭＳ Ｐ明朝" w:hAnsi="Times New Roman"/>
          <w:sz w:val="20"/>
          <w:szCs w:val="21"/>
          <w:lang w:eastAsia="ja-JP"/>
        </w:rPr>
        <w:t>根拠と</w:t>
      </w:r>
      <w:r w:rsidR="00783360" w:rsidRPr="00F46EF2">
        <w:rPr>
          <w:rFonts w:ascii="Times New Roman" w:eastAsia="ＭＳ Ｐ明朝" w:hAnsi="Times New Roman"/>
          <w:sz w:val="20"/>
          <w:szCs w:val="21"/>
          <w:lang w:eastAsia="ja-JP"/>
        </w:rPr>
        <w:t>なるような</w:t>
      </w:r>
      <w:r w:rsidRPr="00F46EF2">
        <w:rPr>
          <w:rFonts w:ascii="Times New Roman" w:eastAsia="ＭＳ Ｐ明朝" w:hAnsi="Times New Roman"/>
          <w:sz w:val="20"/>
          <w:szCs w:val="21"/>
          <w:lang w:eastAsia="ja-JP"/>
        </w:rPr>
        <w:t>証拠は、</w:t>
      </w:r>
      <w:r w:rsidR="00DF3961" w:rsidRPr="00F46EF2">
        <w:rPr>
          <w:rFonts w:ascii="Times New Roman" w:eastAsia="ＭＳ Ｐ明朝" w:hAnsi="Times New Roman"/>
          <w:sz w:val="20"/>
          <w:szCs w:val="21"/>
          <w:lang w:eastAsia="ja-JP"/>
        </w:rPr>
        <w:t>文献や各機関のウェブサイトには</w:t>
      </w:r>
      <w:r w:rsidRPr="00F46EF2">
        <w:rPr>
          <w:rFonts w:ascii="Times New Roman" w:eastAsia="ＭＳ Ｐ明朝" w:hAnsi="Times New Roman"/>
          <w:sz w:val="20"/>
          <w:szCs w:val="21"/>
          <w:lang w:eastAsia="ja-JP"/>
        </w:rPr>
        <w:t>ほとんどないことが強調されている。</w:t>
      </w:r>
      <w:r w:rsidRPr="00F46EF2">
        <w:rPr>
          <w:rFonts w:ascii="Times New Roman" w:eastAsia="ＭＳ Ｐ明朝" w:hAnsi="Times New Roman"/>
          <w:sz w:val="20"/>
          <w:szCs w:val="21"/>
          <w:lang w:eastAsia="ja-JP"/>
        </w:rPr>
        <w:t xml:space="preserve"> </w:t>
      </w:r>
    </w:p>
    <w:p w14:paraId="30BB7775" w14:textId="77777777" w:rsidR="00156C9E" w:rsidRPr="00F46EF2" w:rsidRDefault="00156C9E">
      <w:pPr>
        <w:pStyle w:val="a3"/>
        <w:rPr>
          <w:rFonts w:ascii="Times New Roman" w:eastAsia="ＭＳ Ｐ明朝" w:hAnsi="Times New Roman"/>
          <w:sz w:val="20"/>
          <w:szCs w:val="21"/>
          <w:lang w:eastAsia="ja-JP"/>
        </w:rPr>
      </w:pPr>
    </w:p>
    <w:p w14:paraId="2FEDA390" w14:textId="77777777" w:rsidR="00FF745D" w:rsidRPr="00F46EF2" w:rsidRDefault="00000000">
      <w:pPr>
        <w:pStyle w:val="NbrHeading3"/>
        <w:rPr>
          <w:rFonts w:ascii="Times New Roman" w:eastAsia="ＭＳ Ｐ明朝" w:hAnsi="Times New Roman"/>
          <w:sz w:val="20"/>
          <w:szCs w:val="21"/>
          <w:lang w:eastAsia="ja-JP"/>
        </w:rPr>
      </w:pPr>
      <w:bookmarkStart w:id="25" w:name="_Toc161997085"/>
      <w:proofErr w:type="spellStart"/>
      <w:r w:rsidRPr="00F46EF2">
        <w:rPr>
          <w:rFonts w:ascii="Times New Roman" w:eastAsia="ＭＳ Ｐ明朝" w:hAnsi="Times New Roman"/>
          <w:sz w:val="20"/>
          <w:szCs w:val="21"/>
          <w:lang w:eastAsia="ja-JP"/>
        </w:rPr>
        <w:t>オーストラリアおよび</w:t>
      </w:r>
      <w:r w:rsidR="0017327B" w:rsidRPr="00F46EF2">
        <w:rPr>
          <w:rFonts w:ascii="Times New Roman" w:eastAsia="ＭＳ Ｐ明朝" w:hAnsi="Times New Roman"/>
          <w:sz w:val="20"/>
          <w:szCs w:val="21"/>
          <w:lang w:eastAsia="ja-JP"/>
        </w:rPr>
        <w:t>国際的な</w:t>
      </w:r>
      <w:r w:rsidRPr="00F46EF2">
        <w:rPr>
          <w:rFonts w:ascii="Times New Roman" w:eastAsia="ＭＳ Ｐ明朝" w:hAnsi="Times New Roman"/>
          <w:sz w:val="20"/>
          <w:szCs w:val="21"/>
          <w:lang w:eastAsia="ja-JP"/>
        </w:rPr>
        <w:t>経済の不確実性の評価</w:t>
      </w:r>
      <w:bookmarkEnd w:id="25"/>
      <w:proofErr w:type="spellEnd"/>
    </w:p>
    <w:p w14:paraId="4AA890B2"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における経済的不確実性の原因は数多くあ</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り、一般的に、方法論的不確実性（比較対象、割引率、時</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間軸の選択を含む、経済評価の「最善の」アプロ</w:t>
      </w:r>
      <w:proofErr w:type="spellEnd"/>
      <w:r w:rsidRPr="00F46EF2">
        <w:rPr>
          <w:rFonts w:ascii="Times New Roman" w:eastAsia="ＭＳ Ｐ明朝" w:hAnsi="Times New Roman"/>
          <w:sz w:val="20"/>
          <w:szCs w:val="21"/>
          <w:lang w:eastAsia="ja-JP"/>
        </w:rPr>
        <w:t>ー</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チに関する規範的見解</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構造的不確実性（経済モデル</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の構築に必要な仮定や判断の範囲</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パラメトリック不</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確実性（経済モデルで使用されるパラメータの平均</w:t>
      </w:r>
      <w:proofErr w:type="spellEnd"/>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値に関する不確実性）の</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つに大別される。</w:t>
      </w:r>
      <w:r w:rsidRPr="00F46EF2">
        <w:rPr>
          <w:rFonts w:ascii="Times New Roman" w:eastAsia="ＭＳ Ｐ明朝" w:hAnsi="Times New Roman"/>
          <w:sz w:val="20"/>
          <w:szCs w:val="21"/>
          <w:lang w:eastAsia="ja-JP"/>
        </w:rPr>
        <w:t xml:space="preserve"> </w:t>
      </w:r>
    </w:p>
    <w:p w14:paraId="3FC3DE25"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すべての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ガイドラインは</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参照ケース」または「基本ケ</w:t>
      </w:r>
      <w:proofErr w:type="spellEnd"/>
      <w:r w:rsidRPr="00F46EF2">
        <w:rPr>
          <w:rFonts w:ascii="Times New Roman" w:eastAsia="ＭＳ Ｐ明朝" w:hAnsi="Times New Roman"/>
          <w:sz w:val="20"/>
          <w:szCs w:val="21"/>
          <w:lang w:eastAsia="ja-JP"/>
        </w:rPr>
        <w:t>ー</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ス」を規定することで、方法論の不確実性に対処している。規定されたレファレンスケースまたはベースケースに適合するよう提出が求められる範囲については、</w:t>
      </w:r>
      <w:r w:rsidR="0064555B" w:rsidRPr="00F46EF2">
        <w:rPr>
          <w:rFonts w:ascii="Times New Roman" w:eastAsia="ＭＳ Ｐ明朝" w:hAnsi="Times New Roman"/>
          <w:sz w:val="20"/>
          <w:szCs w:val="21"/>
          <w:lang w:eastAsia="ja-JP"/>
        </w:rPr>
        <w:t>法域によって</w:t>
      </w:r>
      <w:r w:rsidRPr="00F46EF2">
        <w:rPr>
          <w:rFonts w:ascii="Times New Roman" w:eastAsia="ＭＳ Ｐ明朝" w:hAnsi="Times New Roman"/>
          <w:sz w:val="20"/>
          <w:szCs w:val="21"/>
          <w:lang w:eastAsia="ja-JP"/>
        </w:rPr>
        <w:t>若干の違いがあるが、すべてのガイドラインは、正当化できる場合には逸脱を認めている。</w:t>
      </w:r>
      <w:r w:rsidRPr="00F46EF2">
        <w:rPr>
          <w:rFonts w:ascii="Times New Roman" w:eastAsia="ＭＳ Ｐ明朝" w:hAnsi="Times New Roman"/>
          <w:sz w:val="20"/>
          <w:szCs w:val="21"/>
          <w:lang w:eastAsia="ja-JP"/>
        </w:rPr>
        <w:t xml:space="preserve"> </w:t>
      </w:r>
    </w:p>
    <w:p w14:paraId="582E1758"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さらに、すべての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は、何らかの形でシナリオ分析または感度分析を実施することにより、構造的不確実性およびパラメトリック不確実性に対処することを推奨している。パラメトリック不確実性（決定論的感度分析か確率論的感度分析か）に対処するための好ましい方法には異質性があるが、ほとんどのガイドライン（オーストラリア（</w:t>
      </w:r>
      <w:r w:rsidRPr="00F46EF2">
        <w:rPr>
          <w:rFonts w:ascii="Times New Roman" w:eastAsia="ＭＳ Ｐ明朝" w:hAnsi="Times New Roman"/>
          <w:sz w:val="20"/>
          <w:szCs w:val="21"/>
          <w:lang w:eastAsia="ja-JP"/>
        </w:rPr>
        <w:t>MSAC/PBAC</w:t>
      </w:r>
      <w:r w:rsidRPr="00F46EF2">
        <w:rPr>
          <w:rFonts w:ascii="Times New Roman" w:eastAsia="ＭＳ Ｐ明朝" w:hAnsi="Times New Roman"/>
          <w:sz w:val="20"/>
          <w:szCs w:val="21"/>
          <w:lang w:eastAsia="ja-JP"/>
        </w:rPr>
        <w:t>）を含む）では、両方の方法を提示するオプションを提供している。</w:t>
      </w:r>
    </w:p>
    <w:p w14:paraId="7B426601" w14:textId="77777777" w:rsidR="00FF745D" w:rsidRPr="00F46EF2" w:rsidRDefault="00000000">
      <w:pPr>
        <w:pStyle w:val="NbrHeading2"/>
        <w:rPr>
          <w:rFonts w:ascii="Times New Roman" w:eastAsia="ＭＳ Ｐ明朝" w:hAnsi="Times New Roman" w:cs="Times New Roman"/>
          <w:sz w:val="24"/>
          <w:szCs w:val="22"/>
          <w:lang w:eastAsia="ja-JP"/>
        </w:rPr>
      </w:pPr>
      <w:bookmarkStart w:id="26" w:name="_Toc161997086"/>
      <w:r w:rsidRPr="00F46EF2">
        <w:rPr>
          <w:rFonts w:ascii="Times New Roman" w:eastAsia="ＭＳ Ｐ明朝" w:hAnsi="Times New Roman" w:cs="Times New Roman"/>
          <w:sz w:val="24"/>
          <w:szCs w:val="22"/>
          <w:lang w:eastAsia="ja-JP"/>
        </w:rPr>
        <w:lastRenderedPageBreak/>
        <w:t>第</w:t>
      </w:r>
      <w:r w:rsidRPr="00F46EF2">
        <w:rPr>
          <w:rFonts w:ascii="Times New Roman" w:eastAsia="ＭＳ Ｐ明朝" w:hAnsi="Times New Roman" w:cs="Times New Roman"/>
          <w:sz w:val="24"/>
          <w:szCs w:val="22"/>
          <w:lang w:eastAsia="ja-JP"/>
        </w:rPr>
        <w:t>2</w:t>
      </w:r>
      <w:r w:rsidRPr="00F46EF2">
        <w:rPr>
          <w:rFonts w:ascii="Times New Roman" w:eastAsia="ＭＳ Ｐ明朝" w:hAnsi="Times New Roman" w:cs="Times New Roman"/>
          <w:sz w:val="24"/>
          <w:szCs w:val="22"/>
          <w:lang w:eastAsia="ja-JP"/>
        </w:rPr>
        <w:t>部</w:t>
      </w:r>
      <w:r w:rsidRPr="00F46EF2">
        <w:rPr>
          <w:rFonts w:ascii="Times New Roman" w:eastAsia="ＭＳ Ｐ明朝" w:hAnsi="Times New Roman" w:cs="Times New Roman"/>
          <w:sz w:val="24"/>
          <w:szCs w:val="22"/>
          <w:lang w:eastAsia="ja-JP"/>
        </w:rPr>
        <w:t xml:space="preserve"> </w:t>
      </w:r>
      <w:r w:rsidR="00DE5F5A" w:rsidRPr="00F46EF2">
        <w:rPr>
          <w:rFonts w:ascii="Times New Roman" w:eastAsia="ＭＳ Ｐ明朝" w:hAnsi="Times New Roman" w:cs="Times New Roman"/>
          <w:sz w:val="24"/>
          <w:szCs w:val="22"/>
          <w:lang w:eastAsia="ja-JP"/>
        </w:rPr>
        <w:t xml:space="preserve">- </w:t>
      </w:r>
      <w:proofErr w:type="spellStart"/>
      <w:r w:rsidR="00DE5F5A" w:rsidRPr="00F46EF2">
        <w:rPr>
          <w:rFonts w:ascii="Times New Roman" w:eastAsia="ＭＳ Ｐ明朝" w:hAnsi="Times New Roman" w:cs="Times New Roman"/>
          <w:sz w:val="24"/>
          <w:szCs w:val="22"/>
          <w:lang w:eastAsia="ja-JP"/>
        </w:rPr>
        <w:t>個体数の種類とサイズに関する特定の技術に対する特別な考慮事項</w:t>
      </w:r>
      <w:bookmarkEnd w:id="26"/>
      <w:proofErr w:type="spellEnd"/>
    </w:p>
    <w:p w14:paraId="3D5028CD" w14:textId="77777777" w:rsidR="00FF745D" w:rsidRPr="00F46EF2" w:rsidRDefault="00000000">
      <w:pPr>
        <w:pStyle w:val="NbrHeading3"/>
        <w:rPr>
          <w:rFonts w:ascii="Times New Roman" w:eastAsia="ＭＳ Ｐ明朝" w:hAnsi="Times New Roman"/>
          <w:sz w:val="20"/>
          <w:szCs w:val="21"/>
          <w:lang w:eastAsia="ja-JP"/>
        </w:rPr>
      </w:pPr>
      <w:bookmarkStart w:id="27" w:name="_Toc161997087"/>
      <w:proofErr w:type="spellStart"/>
      <w:r w:rsidRPr="00F46EF2">
        <w:rPr>
          <w:rFonts w:ascii="Times New Roman" w:eastAsia="ＭＳ Ｐ明朝" w:hAnsi="Times New Roman"/>
          <w:sz w:val="20"/>
          <w:szCs w:val="21"/>
          <w:lang w:eastAsia="ja-JP"/>
        </w:rPr>
        <w:t>希少疾患と少数の患者</w:t>
      </w:r>
      <w:r w:rsidR="00F71F4C" w:rsidRPr="00F46EF2">
        <w:rPr>
          <w:rFonts w:ascii="Times New Roman" w:eastAsia="ＭＳ Ｐ明朝" w:hAnsi="Times New Roman"/>
          <w:sz w:val="20"/>
          <w:szCs w:val="21"/>
          <w:lang w:eastAsia="ja-JP"/>
        </w:rPr>
        <w:t>集団</w:t>
      </w:r>
      <w:bookmarkEnd w:id="27"/>
      <w:proofErr w:type="spellEnd"/>
    </w:p>
    <w:p w14:paraId="473A24CD"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希少疾病」の普遍的な定義はまだ確立されておらず、その結果、希少疾病治療のための治療法に関する普遍的な定義も存在しない。希少疾患や希少疾病の定義は、国によってまちまちである。</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&lt;EndNote&gt;&lt;Cite&gt;&lt;Author&gt;Pearson&lt;/Author&gt;&lt;Year&gt;2018&lt;/Year&gt;&lt;RecNum&gt;213&lt;/RecNum&gt;&lt;DisplayText&gt;[41]&lt;/DisplayText&gt;&lt;record&gt;&lt;rec-number&gt;213&lt;/rec-number&gt;&lt;foreign-keys&gt;&lt;key app="EN" db-id="z25xddsz659sshedpdu5pda3dswx20f99sf9" timestamp="1692002023"&gt;213&lt;/key&gt;&lt;/foreign-keys&gt;&lt;ref-type name="Journal Article"&gt;17&lt;/ref-type&gt;&lt;contributors&gt;&lt;authors&gt;&lt;author&gt;Pearson, Isobel&lt;/author&gt;&lt;author&gt;Rothwell, Ben&lt;/author&gt;&lt;author&gt;Olaye, Andrew&lt;/author&gt;&lt;author&gt;Knight, Christopher&lt;/author&gt;&lt;/authors&gt;&lt;/contributors&gt;&lt;titles&gt;&lt;title&gt;Economic modeling considerations for rare diseases&lt;/title&gt;&lt;secondary-title&gt;Value in Health&lt;/secondary-title&gt;&lt;/titles&gt;&lt;periodical&gt;&lt;full-title&gt;Value in health&lt;/full-title&gt;&lt;/periodical&gt;&lt;pages&gt;515-524&lt;/pages&gt;&lt;volume&gt;21&lt;/volume&gt;&lt;number&gt;5&lt;/number&gt;&lt;dates&gt;&lt;year&gt;2018&lt;/year&gt;&lt;/dates&gt;&lt;isbn&gt;1098-3015&lt;/isbn&gt;&lt;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[41]</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オーストラリアの</w:t>
      </w:r>
      <w:r w:rsidR="004E3CF6" w:rsidRPr="00F46EF2">
        <w:rPr>
          <w:rFonts w:ascii="Times New Roman" w:eastAsia="ＭＳ Ｐ明朝" w:hAnsi="Times New Roman"/>
          <w:sz w:val="20"/>
          <w:szCs w:val="21"/>
          <w:lang w:eastAsia="ja-JP"/>
        </w:rPr>
        <w:t>DoHAC</w:t>
      </w:r>
      <w:r w:rsidR="004E3CF6" w:rsidRPr="00F46EF2">
        <w:rPr>
          <w:rFonts w:ascii="Times New Roman" w:eastAsia="ＭＳ Ｐ明朝" w:hAnsi="Times New Roman"/>
          <w:sz w:val="20"/>
          <w:szCs w:val="21"/>
          <w:lang w:eastAsia="ja-JP"/>
        </w:rPr>
        <w:t>は</w:t>
      </w:r>
      <w:r w:rsidR="00783360"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10</w:t>
      </w:r>
      <w:r w:rsidRPr="00F46EF2">
        <w:rPr>
          <w:rFonts w:ascii="Times New Roman" w:eastAsia="ＭＳ Ｐ明朝" w:hAnsi="Times New Roman"/>
          <w:sz w:val="20"/>
          <w:szCs w:val="21"/>
          <w:lang w:eastAsia="ja-JP"/>
        </w:rPr>
        <w:t>万</w:t>
      </w:r>
      <w:r w:rsidR="004438AA" w:rsidRPr="00F46EF2">
        <w:rPr>
          <w:rFonts w:ascii="Times New Roman" w:eastAsia="ＭＳ Ｐ明朝" w:hAnsi="Times New Roman"/>
          <w:sz w:val="20"/>
          <w:szCs w:val="21"/>
          <w:lang w:eastAsia="ja-JP"/>
        </w:rPr>
        <w:t>人に</w:t>
      </w:r>
      <w:r w:rsidRPr="00F46EF2">
        <w:rPr>
          <w:rFonts w:ascii="Times New Roman" w:eastAsia="ＭＳ Ｐ明朝" w:hAnsi="Times New Roman"/>
          <w:sz w:val="20"/>
          <w:szCs w:val="21"/>
          <w:lang w:eastAsia="ja-JP"/>
        </w:rPr>
        <w:t>50</w:t>
      </w:r>
      <w:r w:rsidRPr="00F46EF2">
        <w:rPr>
          <w:rFonts w:ascii="Times New Roman" w:eastAsia="ＭＳ Ｐ明朝" w:hAnsi="Times New Roman"/>
          <w:sz w:val="20"/>
          <w:szCs w:val="21"/>
          <w:lang w:eastAsia="ja-JP"/>
        </w:rPr>
        <w:t>人</w:t>
      </w:r>
      <w:r w:rsidR="00783360" w:rsidRPr="00F46EF2">
        <w:rPr>
          <w:rFonts w:ascii="Times New Roman" w:eastAsia="ＭＳ Ｐ明朝" w:hAnsi="Times New Roman"/>
          <w:sz w:val="20"/>
          <w:szCs w:val="21"/>
          <w:lang w:eastAsia="ja-JP"/>
        </w:rPr>
        <w:t>未満しか</w:t>
      </w:r>
      <w:r w:rsidRPr="00F46EF2">
        <w:rPr>
          <w:rFonts w:ascii="Times New Roman" w:eastAsia="ＭＳ Ｐ明朝" w:hAnsi="Times New Roman"/>
          <w:sz w:val="20"/>
          <w:szCs w:val="21"/>
          <w:lang w:eastAsia="ja-JP"/>
        </w:rPr>
        <w:t>罹患しない疾患を希少</w:t>
      </w:r>
      <w:r w:rsidR="00783360" w:rsidRPr="00F46EF2">
        <w:rPr>
          <w:rFonts w:ascii="Times New Roman" w:eastAsia="ＭＳ Ｐ明朝" w:hAnsi="Times New Roman"/>
          <w:sz w:val="20"/>
          <w:szCs w:val="21"/>
          <w:lang w:eastAsia="ja-JP"/>
        </w:rPr>
        <w:t>疾患と定義している。</w:t>
      </w:r>
      <w:r w:rsidR="00783360" w:rsidRPr="00F46EF2">
        <w:rPr>
          <w:rFonts w:ascii="Times New Roman" w:eastAsia="ＭＳ Ｐ明朝" w:hAnsi="Times New Roman"/>
          <w:sz w:val="20"/>
          <w:szCs w:val="21"/>
          <w:lang w:eastAsia="ja-JP"/>
        </w:rPr>
        <w:t xml:space="preserve"> </w:t>
      </w:r>
      <w:r w:rsidR="004438AA"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Government&lt;/Author&gt;&lt;Year&gt;2022&lt;/Year&gt;&lt;RecNum&gt;432&lt;/RecNum&gt;&lt;DisplayText&gt;[42]&lt;/DisplayText&gt;&lt;record&gt;&lt;rec-number&gt;432&lt;/rec-number&gt;&lt;foreign-keys&gt;&lt;key app="EN" db-id="z25xddsz659sshedpdu5pda3dswx20f99sf9" timestamp="1701737530"&gt;432&lt;/key&gt;&lt;/foreign-keys&gt;&lt;ref-type name="Web Page"&gt;12&lt;/ref-type&gt;&lt;contributors&gt;&lt;authors&gt;&lt;author&gt;Australian Government,&lt;/author&gt;&lt;/authors&gt;&lt;secondary-authors&gt;&lt;author&gt;Department of Health and Aged Care,&lt;/author&gt;&lt;/secondary-authors&gt;&lt;/contributors&gt;&lt;titles&gt;&lt;title&gt;What we’re doing about rare diseases&lt;/title&gt;&lt;/titles&gt;&lt;dates&gt;&lt;year&gt;2022&lt;/year&gt;&lt;/dates&gt;&lt;urls&gt;&lt;related-urls&gt;&lt;url&gt;https://www.health.gov.au/topics/chronic-conditions/what-were-doing-about-chronic-conditions/what-were-doing-about-rare-diseases#about-rare-diseases&lt;/url&gt;&lt;/related-urls&gt;&lt;/urls&gt;&lt;custom1&gt;2023&lt;/custom1&gt;&lt;custom2&gt;12 Nov&lt;/custom2&gt;&lt;/record&gt;&lt;/Cite&gt;&lt;/EndNote&gt;</w:instrText>
      </w:r>
      <w:r w:rsidR="004438AA"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[42]</w:t>
      </w:r>
      <w:r w:rsidR="004438AA"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
    <w:p w14:paraId="1CA2AEA2"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11</w:t>
      </w:r>
      <w:r w:rsidRPr="00F46EF2">
        <w:rPr>
          <w:rFonts w:ascii="Times New Roman" w:eastAsia="ＭＳ Ｐ明朝" w:hAnsi="Times New Roman"/>
          <w:sz w:val="20"/>
          <w:szCs w:val="21"/>
          <w:lang w:eastAsia="ja-JP"/>
        </w:rPr>
        <w:t>の</w:t>
      </w:r>
      <w:r w:rsidR="001D0EE0" w:rsidRPr="00F46EF2">
        <w:rPr>
          <w:rFonts w:ascii="Times New Roman" w:eastAsia="ＭＳ Ｐ明朝" w:hAnsi="Times New Roman"/>
          <w:sz w:val="20"/>
          <w:szCs w:val="21"/>
          <w:lang w:eastAsia="ja-JP"/>
        </w:rPr>
        <w:t>国・地域が</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ガイドラインに</w:t>
      </w:r>
      <w:r w:rsidR="00BF1042" w:rsidRPr="00F46EF2">
        <w:rPr>
          <w:rFonts w:ascii="Times New Roman" w:eastAsia="ＭＳ Ｐ明朝" w:hAnsi="Times New Roman"/>
          <w:sz w:val="20"/>
          <w:szCs w:val="21"/>
          <w:lang w:eastAsia="ja-JP"/>
        </w:rPr>
        <w:t>何らかの</w:t>
      </w:r>
      <w:r w:rsidRPr="00F46EF2">
        <w:rPr>
          <w:rFonts w:ascii="Times New Roman" w:eastAsia="ＭＳ Ｐ明朝" w:hAnsi="Times New Roman"/>
          <w:sz w:val="20"/>
          <w:szCs w:val="21"/>
          <w:lang w:eastAsia="ja-JP"/>
        </w:rPr>
        <w:t>規定を設けているか、希少疾患の医療技術に適用されるプログラムを有している（</w:t>
      </w:r>
      <w:r w:rsidR="00A80D00" w:rsidRPr="00F46EF2">
        <w:rPr>
          <w:rFonts w:ascii="Times New Roman" w:eastAsia="ＭＳ Ｐ明朝" w:hAnsi="Times New Roman"/>
          <w:sz w:val="20"/>
          <w:szCs w:val="21"/>
          <w:lang w:eastAsia="ja-JP"/>
        </w:rPr>
        <w:t>オーストラリア（</w:t>
      </w:r>
      <w:r w:rsidR="00A80D00" w:rsidRPr="00F46EF2">
        <w:rPr>
          <w:rFonts w:ascii="Times New Roman" w:eastAsia="ＭＳ Ｐ明朝" w:hAnsi="Times New Roman"/>
          <w:sz w:val="20"/>
          <w:szCs w:val="21"/>
          <w:lang w:eastAsia="ja-JP"/>
        </w:rPr>
        <w:t>PBAC/LSDP</w:t>
      </w:r>
      <w:r w:rsidR="00A80D00" w:rsidRPr="00F46EF2">
        <w:rPr>
          <w:rFonts w:ascii="Times New Roman" w:eastAsia="ＭＳ Ｐ明朝" w:hAnsi="Times New Roman"/>
          <w:sz w:val="20"/>
          <w:szCs w:val="21"/>
          <w:lang w:eastAsia="ja-JP"/>
        </w:rPr>
        <w:t>）、イングランド・ウェールズ（</w:t>
      </w:r>
      <w:r w:rsidR="00A80D00" w:rsidRPr="00F46EF2">
        <w:rPr>
          <w:rFonts w:ascii="Times New Roman" w:eastAsia="ＭＳ Ｐ明朝" w:hAnsi="Times New Roman"/>
          <w:sz w:val="20"/>
          <w:szCs w:val="21"/>
          <w:lang w:eastAsia="ja-JP"/>
        </w:rPr>
        <w:t>NICE</w:t>
      </w:r>
      <w:r w:rsidR="00A80D00" w:rsidRPr="00F46EF2">
        <w:rPr>
          <w:rFonts w:ascii="Times New Roman" w:eastAsia="ＭＳ Ｐ明朝" w:hAnsi="Times New Roman"/>
          <w:sz w:val="20"/>
          <w:szCs w:val="21"/>
          <w:lang w:eastAsia="ja-JP"/>
        </w:rPr>
        <w:t>）、スコットランド（</w:t>
      </w:r>
      <w:r w:rsidR="00A80D00" w:rsidRPr="00F46EF2">
        <w:rPr>
          <w:rFonts w:ascii="Times New Roman" w:eastAsia="ＭＳ Ｐ明朝" w:hAnsi="Times New Roman"/>
          <w:sz w:val="20"/>
          <w:szCs w:val="21"/>
          <w:lang w:eastAsia="ja-JP"/>
        </w:rPr>
        <w:t>SMC</w:t>
      </w:r>
      <w:r w:rsidR="00A80D00" w:rsidRPr="00F46EF2">
        <w:rPr>
          <w:rFonts w:ascii="Times New Roman" w:eastAsia="ＭＳ Ｐ明朝" w:hAnsi="Times New Roman"/>
          <w:sz w:val="20"/>
          <w:szCs w:val="21"/>
          <w:lang w:eastAsia="ja-JP"/>
        </w:rPr>
        <w:t>）、カナダ（</w:t>
      </w:r>
      <w:r w:rsidR="00A80D00" w:rsidRPr="00F46EF2">
        <w:rPr>
          <w:rFonts w:ascii="Times New Roman" w:eastAsia="ＭＳ Ｐ明朝" w:hAnsi="Times New Roman"/>
          <w:sz w:val="20"/>
          <w:szCs w:val="21"/>
          <w:lang w:eastAsia="ja-JP"/>
        </w:rPr>
        <w:t>CADTH</w:t>
      </w:r>
      <w:r w:rsidR="00A80D00" w:rsidRPr="00F46EF2">
        <w:rPr>
          <w:rFonts w:ascii="Times New Roman" w:eastAsia="ＭＳ Ｐ明朝" w:hAnsi="Times New Roman"/>
          <w:sz w:val="20"/>
          <w:szCs w:val="21"/>
          <w:lang w:eastAsia="ja-JP"/>
        </w:rPr>
        <w:t>）、ニュージーランド（</w:t>
      </w:r>
      <w:r w:rsidR="00A80D00" w:rsidRPr="00F46EF2">
        <w:rPr>
          <w:rFonts w:ascii="Times New Roman" w:eastAsia="ＭＳ Ｐ明朝" w:hAnsi="Times New Roman"/>
          <w:sz w:val="20"/>
          <w:szCs w:val="21"/>
          <w:lang w:eastAsia="ja-JP"/>
        </w:rPr>
        <w:t>PHARMAC</w:t>
      </w:r>
      <w:r w:rsidR="00A80D00" w:rsidRPr="00F46EF2">
        <w:rPr>
          <w:rFonts w:ascii="Times New Roman" w:eastAsia="ＭＳ Ｐ明朝" w:hAnsi="Times New Roman"/>
          <w:sz w:val="20"/>
          <w:szCs w:val="21"/>
          <w:lang w:eastAsia="ja-JP"/>
        </w:rPr>
        <w:t>）、フランス（</w:t>
      </w:r>
      <w:r w:rsidR="00A80D00" w:rsidRPr="00F46EF2">
        <w:rPr>
          <w:rFonts w:ascii="Times New Roman" w:eastAsia="ＭＳ Ｐ明朝" w:hAnsi="Times New Roman"/>
          <w:sz w:val="20"/>
          <w:szCs w:val="21"/>
          <w:lang w:eastAsia="ja-JP"/>
        </w:rPr>
        <w:t>HAS</w:t>
      </w:r>
      <w:r w:rsidR="00A80D00" w:rsidRPr="00F46EF2">
        <w:rPr>
          <w:rFonts w:ascii="Times New Roman" w:eastAsia="ＭＳ Ｐ明朝" w:hAnsi="Times New Roman"/>
          <w:sz w:val="20"/>
          <w:szCs w:val="21"/>
          <w:lang w:eastAsia="ja-JP"/>
        </w:rPr>
        <w:t>）、ドイツ（</w:t>
      </w:r>
      <w:r w:rsidR="00A80D00" w:rsidRPr="00F46EF2">
        <w:rPr>
          <w:rFonts w:ascii="Times New Roman" w:eastAsia="ＭＳ Ｐ明朝" w:hAnsi="Times New Roman"/>
          <w:sz w:val="20"/>
          <w:szCs w:val="21"/>
          <w:lang w:eastAsia="ja-JP"/>
        </w:rPr>
        <w:t>IQWiG</w:t>
      </w:r>
      <w:r w:rsidR="00A80D00" w:rsidRPr="00F46EF2">
        <w:rPr>
          <w:rFonts w:ascii="Times New Roman" w:eastAsia="ＭＳ Ｐ明朝" w:hAnsi="Times New Roman"/>
          <w:sz w:val="20"/>
          <w:szCs w:val="21"/>
          <w:lang w:eastAsia="ja-JP"/>
        </w:rPr>
        <w:t>）、ベルギー（</w:t>
      </w:r>
      <w:r w:rsidR="00A80D00" w:rsidRPr="00F46EF2">
        <w:rPr>
          <w:rFonts w:ascii="Times New Roman" w:eastAsia="ＭＳ Ｐ明朝" w:hAnsi="Times New Roman"/>
          <w:sz w:val="20"/>
          <w:szCs w:val="21"/>
          <w:lang w:eastAsia="ja-JP"/>
        </w:rPr>
        <w:t>KCE</w:t>
      </w:r>
      <w:r w:rsidR="00A80D00" w:rsidRPr="00F46EF2">
        <w:rPr>
          <w:rFonts w:ascii="Times New Roman" w:eastAsia="ＭＳ Ｐ明朝" w:hAnsi="Times New Roman"/>
          <w:sz w:val="20"/>
          <w:szCs w:val="21"/>
          <w:lang w:eastAsia="ja-JP"/>
        </w:rPr>
        <w:t>）、シンガポール（</w:t>
      </w:r>
      <w:r w:rsidR="00A80D00" w:rsidRPr="00F46EF2">
        <w:rPr>
          <w:rFonts w:ascii="Times New Roman" w:eastAsia="ＭＳ Ｐ明朝" w:hAnsi="Times New Roman"/>
          <w:sz w:val="20"/>
          <w:szCs w:val="21"/>
          <w:lang w:eastAsia="ja-JP"/>
        </w:rPr>
        <w:t>ACE</w:t>
      </w:r>
      <w:r w:rsidR="00A80D00" w:rsidRPr="00F46EF2">
        <w:rPr>
          <w:rFonts w:ascii="Times New Roman" w:eastAsia="ＭＳ Ｐ明朝" w:hAnsi="Times New Roman"/>
          <w:sz w:val="20"/>
          <w:szCs w:val="21"/>
          <w:lang w:eastAsia="ja-JP"/>
        </w:rPr>
        <w:t>）、韓国（</w:t>
      </w:r>
      <w:r w:rsidR="00A80D00" w:rsidRPr="00F46EF2">
        <w:rPr>
          <w:rFonts w:ascii="Times New Roman" w:eastAsia="ＭＳ Ｐ明朝" w:hAnsi="Times New Roman"/>
          <w:sz w:val="20"/>
          <w:szCs w:val="21"/>
          <w:lang w:eastAsia="ja-JP"/>
        </w:rPr>
        <w:t>NECA</w:t>
      </w:r>
      <w:r w:rsidR="00A80D00" w:rsidRPr="00F46EF2">
        <w:rPr>
          <w:rFonts w:ascii="Times New Roman" w:eastAsia="ＭＳ Ｐ明朝" w:hAnsi="Times New Roman"/>
          <w:sz w:val="20"/>
          <w:szCs w:val="21"/>
          <w:lang w:eastAsia="ja-JP"/>
        </w:rPr>
        <w:t>）、台湾（</w:t>
      </w:r>
      <w:r w:rsidR="00A80D00" w:rsidRPr="00F46EF2">
        <w:rPr>
          <w:rFonts w:ascii="Times New Roman" w:eastAsia="ＭＳ Ｐ明朝" w:hAnsi="Times New Roman"/>
          <w:sz w:val="20"/>
          <w:szCs w:val="21"/>
          <w:lang w:eastAsia="ja-JP"/>
        </w:rPr>
        <w:t>CDE</w:t>
      </w:r>
      <w:r w:rsidR="00A80D00" w:rsidRPr="00F46EF2">
        <w:rPr>
          <w:rFonts w:ascii="Times New Roman" w:eastAsia="ＭＳ Ｐ明朝" w:hAnsi="Times New Roman"/>
          <w:sz w:val="20"/>
          <w:szCs w:val="21"/>
          <w:lang w:eastAsia="ja-JP"/>
        </w:rPr>
        <w:t>、</w:t>
      </w:r>
      <w:r w:rsidR="00A80D00" w:rsidRPr="00F46EF2">
        <w:rPr>
          <w:rFonts w:ascii="Times New Roman" w:eastAsia="ＭＳ Ｐ明朝" w:hAnsi="Times New Roman"/>
          <w:sz w:val="20"/>
          <w:szCs w:val="21"/>
          <w:lang w:eastAsia="ja-JP"/>
        </w:rPr>
        <w:t>NIHTA</w:t>
      </w:r>
      <w:r w:rsidR="00A80D00" w:rsidRPr="00F46EF2">
        <w:rPr>
          <w:rFonts w:ascii="Times New Roman" w:eastAsia="ＭＳ Ｐ明朝" w:hAnsi="Times New Roman"/>
          <w:sz w:val="20"/>
          <w:szCs w:val="21"/>
          <w:lang w:eastAsia="ja-JP"/>
        </w:rPr>
        <w:t>、</w:t>
      </w:r>
      <w:r w:rsidR="00A80D00" w:rsidRPr="00F46EF2">
        <w:rPr>
          <w:rFonts w:ascii="Times New Roman" w:eastAsia="ＭＳ Ｐ明朝" w:hAnsi="Times New Roman"/>
          <w:sz w:val="20"/>
          <w:szCs w:val="21"/>
          <w:lang w:eastAsia="ja-JP"/>
        </w:rPr>
        <w:t>NIHA</w:t>
      </w:r>
      <w:r w:rsidR="00A80D00" w:rsidRPr="00F46EF2">
        <w:rPr>
          <w:rFonts w:ascii="Times New Roman" w:eastAsia="ＭＳ Ｐ明朝" w:hAnsi="Times New Roman"/>
          <w:sz w:val="20"/>
          <w:szCs w:val="21"/>
          <w:lang w:eastAsia="ja-JP"/>
        </w:rPr>
        <w:t>、</w:t>
      </w:r>
      <w:r w:rsidR="00A80D00" w:rsidRPr="00F46EF2">
        <w:rPr>
          <w:rFonts w:ascii="Times New Roman" w:eastAsia="ＭＳ Ｐ明朝" w:hAnsi="Times New Roman"/>
          <w:sz w:val="20"/>
          <w:szCs w:val="21"/>
          <w:lang w:eastAsia="ja-JP"/>
        </w:rPr>
        <w:t>HPA</w:t>
      </w:r>
      <w:r w:rsidR="00A80D00"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w:t>
      </w:r>
      <w:r w:rsidR="00BF1042" w:rsidRPr="00F46EF2">
        <w:rPr>
          <w:rFonts w:ascii="Times New Roman" w:eastAsia="ＭＳ Ｐ明朝" w:hAnsi="Times New Roman"/>
          <w:sz w:val="20"/>
          <w:szCs w:val="21"/>
          <w:lang w:eastAsia="ja-JP"/>
        </w:rPr>
        <w:t>3</w:t>
      </w:r>
      <w:r w:rsidR="00BF1042" w:rsidRPr="00F46EF2">
        <w:rPr>
          <w:rFonts w:ascii="Times New Roman" w:eastAsia="ＭＳ Ｐ明朝" w:hAnsi="Times New Roman"/>
          <w:sz w:val="20"/>
          <w:szCs w:val="21"/>
          <w:lang w:eastAsia="ja-JP"/>
        </w:rPr>
        <w:t>つの管轄区域では、ウルトラオルファン治療に対する特定のパスウェイがある（オーストラリア、イングランドとウェールズ、スコットランド）。</w:t>
      </w:r>
    </w:p>
    <w:p w14:paraId="28122E62"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オーストラリアでは、超希少疾患や生命を脅かす疾患に対する</w:t>
      </w:r>
      <w:r w:rsidR="00CD6571" w:rsidRPr="00F46EF2">
        <w:rPr>
          <w:rFonts w:ascii="Times New Roman" w:eastAsia="ＭＳ Ｐ明朝" w:hAnsi="Times New Roman"/>
          <w:sz w:val="20"/>
          <w:szCs w:val="21"/>
          <w:lang w:eastAsia="ja-JP"/>
        </w:rPr>
        <w:t>医薬品は</w:t>
      </w:r>
      <w:r w:rsidR="00C635A5" w:rsidRPr="00F46EF2">
        <w:rPr>
          <w:rFonts w:ascii="Times New Roman" w:eastAsia="ＭＳ Ｐ明朝" w:hAnsi="Times New Roman"/>
          <w:sz w:val="20"/>
          <w:szCs w:val="21"/>
          <w:lang w:eastAsia="ja-JP"/>
        </w:rPr>
        <w:t>、</w:t>
      </w:r>
      <w:r w:rsidR="00DA16BE" w:rsidRPr="00F46EF2">
        <w:rPr>
          <w:rFonts w:ascii="Times New Roman" w:eastAsia="ＭＳ Ｐ明朝" w:hAnsi="Times New Roman"/>
          <w:sz w:val="20"/>
          <w:szCs w:val="21"/>
          <w:lang w:eastAsia="ja-JP"/>
        </w:rPr>
        <w:t>主に</w:t>
      </w:r>
      <w:r w:rsidR="00C635A5" w:rsidRPr="00F46EF2">
        <w:rPr>
          <w:rFonts w:ascii="Times New Roman" w:eastAsia="ＭＳ Ｐ明朝" w:hAnsi="Times New Roman"/>
          <w:sz w:val="20"/>
          <w:szCs w:val="21"/>
          <w:lang w:eastAsia="ja-JP"/>
        </w:rPr>
        <w:t>連邦から</w:t>
      </w:r>
      <w:r w:rsidR="002E2D90" w:rsidRPr="00F46EF2">
        <w:rPr>
          <w:rFonts w:ascii="Times New Roman" w:eastAsia="ＭＳ Ｐ明朝" w:hAnsi="Times New Roman"/>
          <w:sz w:val="20"/>
          <w:szCs w:val="21"/>
          <w:lang w:eastAsia="ja-JP"/>
        </w:rPr>
        <w:t>救命医薬品プログラム（</w:t>
      </w:r>
      <w:r w:rsidR="00C635A5" w:rsidRPr="00F46EF2">
        <w:rPr>
          <w:rFonts w:ascii="Times New Roman" w:eastAsia="ＭＳ Ｐ明朝" w:hAnsi="Times New Roman"/>
          <w:sz w:val="20"/>
          <w:szCs w:val="21"/>
          <w:lang w:eastAsia="ja-JP"/>
        </w:rPr>
        <w:t>LSDP</w:t>
      </w:r>
      <w:r w:rsidR="002E2D90" w:rsidRPr="00F46EF2">
        <w:rPr>
          <w:rFonts w:ascii="Times New Roman" w:eastAsia="ＭＳ Ｐ明朝" w:hAnsi="Times New Roman"/>
          <w:sz w:val="20"/>
          <w:szCs w:val="21"/>
          <w:lang w:eastAsia="ja-JP"/>
        </w:rPr>
        <w:t>）</w:t>
      </w:r>
      <w:r w:rsidR="00C90145" w:rsidRPr="00F46EF2">
        <w:rPr>
          <w:rFonts w:ascii="Times New Roman" w:eastAsia="ＭＳ Ｐ明朝" w:hAnsi="Times New Roman"/>
          <w:sz w:val="20"/>
          <w:szCs w:val="21"/>
          <w:lang w:eastAsia="ja-JP"/>
        </w:rPr>
        <w:t>または</w:t>
      </w:r>
      <w:r w:rsidR="00C90145" w:rsidRPr="00F46EF2">
        <w:rPr>
          <w:rFonts w:ascii="Times New Roman" w:eastAsia="ＭＳ Ｐ明朝" w:hAnsi="Times New Roman"/>
          <w:sz w:val="20"/>
          <w:szCs w:val="21"/>
          <w:lang w:eastAsia="ja-JP"/>
        </w:rPr>
        <w:t>PBS</w:t>
      </w:r>
      <w:r w:rsidR="00C90145" w:rsidRPr="00F46EF2">
        <w:rPr>
          <w:rFonts w:ascii="Times New Roman" w:eastAsia="ＭＳ Ｐ明朝" w:hAnsi="Times New Roman"/>
          <w:sz w:val="20"/>
          <w:szCs w:val="21"/>
          <w:lang w:eastAsia="ja-JP"/>
        </w:rPr>
        <w:t>を通じて</w:t>
      </w:r>
      <w:r w:rsidR="00C635A5" w:rsidRPr="00F46EF2">
        <w:rPr>
          <w:rFonts w:ascii="Times New Roman" w:eastAsia="ＭＳ Ｐ明朝" w:hAnsi="Times New Roman"/>
          <w:sz w:val="20"/>
          <w:szCs w:val="21"/>
          <w:lang w:eastAsia="ja-JP"/>
        </w:rPr>
        <w:t>支払われる</w:t>
      </w:r>
      <w:r w:rsidR="00DA16BE"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医薬品は、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の審査</w:t>
      </w:r>
      <w:r w:rsidR="00783360" w:rsidRPr="00F46EF2">
        <w:rPr>
          <w:rFonts w:ascii="Times New Roman" w:eastAsia="ＭＳ Ｐ明朝" w:hAnsi="Times New Roman"/>
          <w:sz w:val="20"/>
          <w:szCs w:val="21"/>
          <w:lang w:eastAsia="ja-JP"/>
        </w:rPr>
        <w:t>プロセスを経て、</w:t>
      </w:r>
      <w:r w:rsidRPr="00F46EF2">
        <w:rPr>
          <w:rFonts w:ascii="Times New Roman" w:eastAsia="ＭＳ Ｐ明朝" w:hAnsi="Times New Roman"/>
          <w:sz w:val="20"/>
          <w:szCs w:val="21"/>
          <w:lang w:eastAsia="ja-JP"/>
        </w:rPr>
        <w:t>臨床的に有効であるが</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に掲載するには費用対効果が低いと判断された場合のみ、</w:t>
      </w:r>
      <w:r w:rsidRPr="00F46EF2">
        <w:rPr>
          <w:rFonts w:ascii="Times New Roman" w:eastAsia="ＭＳ Ｐ明朝" w:hAnsi="Times New Roman"/>
          <w:sz w:val="20"/>
          <w:szCs w:val="21"/>
          <w:lang w:eastAsia="ja-JP"/>
        </w:rPr>
        <w:t>LSDP</w:t>
      </w:r>
      <w:r w:rsidRPr="00F46EF2">
        <w:rPr>
          <w:rFonts w:ascii="Times New Roman" w:eastAsia="ＭＳ Ｐ明朝" w:hAnsi="Times New Roman"/>
          <w:sz w:val="20"/>
          <w:szCs w:val="21"/>
          <w:lang w:eastAsia="ja-JP"/>
        </w:rPr>
        <w:t>の対象として提出することができる。費用対効果が</w:t>
      </w:r>
      <w:r w:rsidR="002B3B38" w:rsidRPr="00F46EF2">
        <w:rPr>
          <w:rFonts w:ascii="Times New Roman" w:eastAsia="ＭＳ Ｐ明朝" w:hAnsi="Times New Roman"/>
          <w:sz w:val="20"/>
          <w:szCs w:val="21"/>
          <w:lang w:eastAsia="ja-JP"/>
        </w:rPr>
        <w:t>認められないという理由で</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により却下された後、</w:t>
      </w:r>
      <w:r w:rsidR="0091470A" w:rsidRPr="00F46EF2">
        <w:rPr>
          <w:rFonts w:ascii="Times New Roman" w:eastAsia="ＭＳ Ｐ明朝" w:hAnsi="Times New Roman"/>
          <w:sz w:val="20"/>
          <w:szCs w:val="21"/>
          <w:lang w:eastAsia="ja-JP"/>
        </w:rPr>
        <w:t>スポンサーは</w:t>
      </w:r>
      <w:r w:rsidR="00A8563D" w:rsidRPr="00F46EF2">
        <w:rPr>
          <w:rFonts w:ascii="Times New Roman" w:eastAsia="ＭＳ Ｐ明朝" w:hAnsi="Times New Roman"/>
          <w:sz w:val="20"/>
          <w:szCs w:val="21"/>
          <w:lang w:eastAsia="ja-JP"/>
        </w:rPr>
        <w:t>LSDP</w:t>
      </w:r>
      <w:r w:rsidR="00A8563D" w:rsidRPr="00F46EF2">
        <w:rPr>
          <w:rFonts w:ascii="Times New Roman" w:eastAsia="ＭＳ Ｐ明朝" w:hAnsi="Times New Roman"/>
          <w:sz w:val="20"/>
          <w:szCs w:val="21"/>
          <w:lang w:eastAsia="ja-JP"/>
        </w:rPr>
        <w:t>への</w:t>
      </w:r>
      <w:r w:rsidR="0091470A" w:rsidRPr="00F46EF2">
        <w:rPr>
          <w:rFonts w:ascii="Times New Roman" w:eastAsia="ＭＳ Ｐ明朝" w:hAnsi="Times New Roman"/>
          <w:sz w:val="20"/>
          <w:szCs w:val="21"/>
          <w:lang w:eastAsia="ja-JP"/>
        </w:rPr>
        <w:t>掲載申請を提出することができる</w:t>
      </w:r>
      <w:r w:rsidR="00C0445A" w:rsidRPr="00F46EF2">
        <w:rPr>
          <w:rFonts w:ascii="Times New Roman" w:eastAsia="ＭＳ Ｐ明朝" w:hAnsi="Times New Roman"/>
          <w:sz w:val="20"/>
          <w:szCs w:val="21"/>
          <w:lang w:eastAsia="ja-JP"/>
        </w:rPr>
        <w:t>。</w:t>
      </w:r>
      <w:r w:rsidR="00C0445A" w:rsidRPr="00F46EF2">
        <w:rPr>
          <w:rFonts w:ascii="Times New Roman" w:eastAsia="ＭＳ Ｐ明朝" w:hAnsi="Times New Roman"/>
          <w:sz w:val="20"/>
          <w:szCs w:val="21"/>
          <w:lang w:eastAsia="ja-JP"/>
        </w:rPr>
        <w:t>LSDP</w:t>
      </w:r>
      <w:r w:rsidR="00C0445A" w:rsidRPr="00F46EF2">
        <w:rPr>
          <w:rFonts w:ascii="Times New Roman" w:eastAsia="ＭＳ Ｐ明朝" w:hAnsi="Times New Roman"/>
          <w:sz w:val="20"/>
          <w:szCs w:val="21"/>
          <w:lang w:eastAsia="ja-JP"/>
        </w:rPr>
        <w:t>を通じて資金提供を求めるすべての申請は、</w:t>
      </w:r>
      <w:r w:rsidR="00C0445A" w:rsidRPr="00F46EF2">
        <w:rPr>
          <w:rFonts w:ascii="Times New Roman" w:eastAsia="ＭＳ Ｐ明朝" w:hAnsi="Times New Roman"/>
          <w:sz w:val="20"/>
          <w:szCs w:val="21"/>
          <w:lang w:eastAsia="ja-JP"/>
        </w:rPr>
        <w:t>LSDP</w:t>
      </w:r>
      <w:r w:rsidR="00C0445A" w:rsidRPr="00F46EF2">
        <w:rPr>
          <w:rFonts w:ascii="Times New Roman" w:eastAsia="ＭＳ Ｐ明朝" w:hAnsi="Times New Roman"/>
          <w:sz w:val="20"/>
          <w:szCs w:val="21"/>
          <w:lang w:eastAsia="ja-JP"/>
        </w:rPr>
        <w:t>専門家</w:t>
      </w:r>
      <w:r w:rsidR="008720D1" w:rsidRPr="00F46EF2">
        <w:rPr>
          <w:rFonts w:ascii="Times New Roman" w:eastAsia="ＭＳ Ｐ明朝" w:hAnsi="Times New Roman"/>
          <w:sz w:val="20"/>
          <w:szCs w:val="21"/>
          <w:lang w:eastAsia="ja-JP"/>
        </w:rPr>
        <w:t>パネルによって</w:t>
      </w:r>
      <w:r w:rsidR="00C0445A" w:rsidRPr="00F46EF2">
        <w:rPr>
          <w:rFonts w:ascii="Times New Roman" w:eastAsia="ＭＳ Ｐ明朝" w:hAnsi="Times New Roman"/>
          <w:sz w:val="20"/>
          <w:szCs w:val="21"/>
          <w:lang w:eastAsia="ja-JP"/>
        </w:rPr>
        <w:t>検討される</w:t>
      </w:r>
      <w:r w:rsidR="00C0445A" w:rsidRPr="00F46EF2">
        <w:rPr>
          <w:rFonts w:ascii="Times New Roman" w:eastAsia="ＭＳ Ｐ明朝" w:hAnsi="Times New Roman"/>
          <w:sz w:val="20"/>
          <w:szCs w:val="21"/>
          <w:lang w:eastAsia="ja-JP"/>
        </w:rPr>
        <w:t xml:space="preserve"> </w:t>
      </w:r>
      <w:r w:rsidR="00247637"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Government&lt;/Author&gt;&lt;Year&gt;2018&lt;/Year&gt;&lt;RecNum&gt;362&lt;/RecNum&gt;&lt;DisplayText&gt;[43]&lt;/DisplayText&gt;&lt;record&gt;&lt;rec-number&gt;362&lt;/rec-number&gt;&lt;foreign-keys&gt;&lt;key app="EN" db-id="z25xddsz659sshedpdu5pda3dswx20f99sf9" timestamp="1695518835"&gt;362&lt;/key&gt;&lt;/foreign-keys&gt;&lt;ref-type name="Government Document"&gt;46&lt;/ref-type&gt;&lt;contributors&gt;&lt;authors&gt;&lt;author&gt;Australian Government,&lt;/author&gt;&lt;/authors&gt;&lt;secondary-authors&gt;&lt;author&gt;Department of Health and Aged Care,&lt;/author&gt;&lt;/secondary-authors&gt;&lt;/contributors&gt;&lt;titles&gt;&lt;title&gt;Procedure guidance for medicines funded through the Life Saving Drugs Program (LSDP)&lt;/title&gt;&lt;/titles&gt;&lt;dates&gt;&lt;year&gt;2018&lt;/year&gt;&lt;/dates&gt;&lt;urls&gt;&lt;related-urls&gt;&lt;url&gt;https://www.health.gov.au/resources/publications/procedure-guidance-for-medicines-funded-through-the-life-saving-drugs-program-lsdp&lt;/url&gt;&lt;/related-urls&gt;&lt;/urls&gt;&lt;/record&gt;&lt;/Cite&gt;&lt;/EndNote&gt;</w:instrText>
      </w:r>
      <w:r w:rsidR="00247637"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[43]</w:t>
      </w:r>
      <w:r w:rsidR="00247637"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roofErr w:type="spellStart"/>
      <w:r w:rsidR="002B3B38" w:rsidRPr="00F46EF2">
        <w:rPr>
          <w:rFonts w:ascii="Times New Roman" w:eastAsia="ＭＳ Ｐ明朝" w:hAnsi="Times New Roman"/>
          <w:sz w:val="20"/>
          <w:szCs w:val="21"/>
          <w:lang w:eastAsia="ja-JP"/>
        </w:rPr>
        <w:t>LSDP</w:t>
      </w:r>
      <w:r w:rsidR="002B3B38" w:rsidRPr="00F46EF2">
        <w:rPr>
          <w:rFonts w:ascii="Times New Roman" w:eastAsia="ＭＳ Ｐ明朝" w:hAnsi="Times New Roman"/>
          <w:sz w:val="20"/>
          <w:szCs w:val="21"/>
          <w:lang w:eastAsia="ja-JP"/>
        </w:rPr>
        <w:t>への掲載を検討するためには、治療法も</w:t>
      </w:r>
      <w:r w:rsidR="002B3B38" w:rsidRPr="00F46EF2">
        <w:rPr>
          <w:rFonts w:ascii="Times New Roman" w:eastAsia="ＭＳ Ｐ明朝" w:hAnsi="Times New Roman"/>
          <w:sz w:val="20"/>
          <w:szCs w:val="21"/>
          <w:lang w:eastAsia="ja-JP"/>
        </w:rPr>
        <w:t>LSDP</w:t>
      </w:r>
      <w:r w:rsidR="002B3B38" w:rsidRPr="00F46EF2">
        <w:rPr>
          <w:rFonts w:ascii="Times New Roman" w:eastAsia="ＭＳ Ｐ明朝" w:hAnsi="Times New Roman"/>
          <w:sz w:val="20"/>
          <w:szCs w:val="21"/>
          <w:lang w:eastAsia="ja-JP"/>
        </w:rPr>
        <w:t>の基準を満たさなければならない</w:t>
      </w:r>
      <w:proofErr w:type="spellEnd"/>
      <w:r w:rsidR="002B3B38" w:rsidRPr="00F46EF2">
        <w:rPr>
          <w:rFonts w:ascii="Times New Roman" w:eastAsia="ＭＳ Ｐ明朝" w:hAnsi="Times New Roman"/>
          <w:sz w:val="20"/>
          <w:szCs w:val="21"/>
          <w:lang w:eastAsia="ja-JP"/>
        </w:rPr>
        <w:t>。</w:t>
      </w:r>
      <w:r w:rsidR="002B3B38" w:rsidRPr="00F46EF2">
        <w:rPr>
          <w:rFonts w:ascii="Times New Roman" w:eastAsia="ＭＳ Ｐ明朝" w:hAnsi="Times New Roman"/>
          <w:sz w:val="20"/>
          <w:szCs w:val="21"/>
          <w:lang w:eastAsia="ja-JP"/>
        </w:rPr>
        <w:t xml:space="preserve"> </w:t>
      </w:r>
    </w:p>
    <w:p w14:paraId="5C8A1B8C" w14:textId="77777777" w:rsidR="00FF745D" w:rsidRPr="00F46EF2" w:rsidRDefault="0069605B">
      <w:pPr>
        <w:pStyle w:val="a3"/>
        <w:rPr>
          <w:rFonts w:ascii="Times New Roman" w:eastAsia="ＭＳ Ｐ明朝" w:hAnsi="Times New Roman"/>
          <w:sz w:val="20"/>
          <w:szCs w:val="21"/>
          <w:lang w:eastAsia="ja-JP"/>
        </w:rPr>
      </w:pPr>
      <w:bookmarkStart w:id="28" w:name="_Hlk146461599"/>
      <w:r w:rsidRPr="00F46EF2">
        <w:rPr>
          <w:rFonts w:ascii="Times New Roman" w:eastAsia="ＭＳ Ｐ明朝" w:hAnsi="Times New Roman"/>
          <w:sz w:val="20"/>
          <w:szCs w:val="21"/>
        </w:rPr>
        <w:t>イングランドとウェールズでは</w:t>
      </w:r>
      <w:r w:rsidR="0055043E" w:rsidRPr="00F46EF2">
        <w:rPr>
          <w:rFonts w:ascii="Times New Roman" w:eastAsia="ＭＳ Ｐ明朝" w:hAnsi="Times New Roman"/>
          <w:sz w:val="20"/>
          <w:szCs w:val="21"/>
        </w:rPr>
        <w:t>、</w:t>
      </w:r>
      <w:r w:rsidR="0055043E" w:rsidRPr="00F46EF2">
        <w:rPr>
          <w:rFonts w:ascii="Times New Roman" w:eastAsia="ＭＳ Ｐ明朝" w:hAnsi="Times New Roman"/>
          <w:sz w:val="20"/>
          <w:szCs w:val="21"/>
        </w:rPr>
        <w:t>Highly Specialised Technology Program</w:t>
      </w:r>
      <w:r w:rsidR="0055043E" w:rsidRPr="00F46EF2">
        <w:rPr>
          <w:rFonts w:ascii="Times New Roman" w:eastAsia="ＭＳ Ｐ明朝" w:hAnsi="Times New Roman"/>
          <w:sz w:val="20"/>
          <w:szCs w:val="21"/>
        </w:rPr>
        <w:t>が、</w:t>
      </w:r>
      <w:r w:rsidR="0055043E" w:rsidRPr="00F46EF2">
        <w:rPr>
          <w:rFonts w:ascii="Times New Roman" w:eastAsia="ＭＳ Ｐ明朝" w:hAnsi="Times New Roman"/>
          <w:sz w:val="20"/>
          <w:szCs w:val="21"/>
        </w:rPr>
        <w:t>National Institute for Health Research Innovation Observatory</w:t>
      </w:r>
      <w:r w:rsidR="0055043E" w:rsidRPr="00F46EF2">
        <w:rPr>
          <w:rFonts w:ascii="Times New Roman" w:eastAsia="ＭＳ Ｐ明朝" w:hAnsi="Times New Roman"/>
          <w:sz w:val="20"/>
          <w:szCs w:val="21"/>
        </w:rPr>
        <w:t>によって特定されたトピックを持つ超希少疾患の医薬品を検討している。</w:t>
      </w:r>
      <w:r w:rsidR="0055043E" w:rsidRPr="00F46EF2">
        <w:rPr>
          <w:rFonts w:ascii="Times New Roman" w:eastAsia="ＭＳ Ｐ明朝" w:hAnsi="Times New Roman"/>
          <w:sz w:val="20"/>
          <w:szCs w:val="21"/>
          <w:lang w:eastAsia="ja-JP"/>
        </w:rPr>
        <w:t>高度専門</w:t>
      </w:r>
      <w:r w:rsidRPr="00F46EF2">
        <w:rPr>
          <w:rFonts w:ascii="Times New Roman" w:eastAsia="ＭＳ Ｐ明朝" w:hAnsi="Times New Roman"/>
          <w:sz w:val="20"/>
          <w:szCs w:val="21"/>
          <w:lang w:eastAsia="ja-JP"/>
        </w:rPr>
        <w:t>技術プログラムでは、</w:t>
      </w:r>
      <w:r w:rsidR="008C0709" w:rsidRPr="00F46EF2">
        <w:rPr>
          <w:rFonts w:ascii="Times New Roman" w:eastAsia="ＭＳ Ｐ明朝" w:hAnsi="Times New Roman"/>
          <w:sz w:val="20"/>
          <w:szCs w:val="21"/>
          <w:lang w:eastAsia="ja-JP"/>
        </w:rPr>
        <w:t>技術の費用対効果についてより高い閾値が適用される（獲得</w:t>
      </w:r>
      <w:r w:rsidR="008C0709" w:rsidRPr="00F46EF2">
        <w:rPr>
          <w:rFonts w:ascii="Times New Roman" w:eastAsia="ＭＳ Ｐ明朝" w:hAnsi="Times New Roman"/>
          <w:sz w:val="20"/>
          <w:szCs w:val="21"/>
          <w:lang w:eastAsia="ja-JP"/>
        </w:rPr>
        <w:t>QALY10</w:t>
      </w:r>
      <w:r w:rsidR="008C0709" w:rsidRPr="00F46EF2">
        <w:rPr>
          <w:rFonts w:ascii="Times New Roman" w:eastAsia="ＭＳ Ｐ明朝" w:hAnsi="Times New Roman"/>
          <w:sz w:val="20"/>
          <w:szCs w:val="21"/>
          <w:lang w:eastAsia="ja-JP"/>
        </w:rPr>
        <w:t>万ポンド）。</w:t>
      </w:r>
      <w:r w:rsidRPr="00F46EF2">
        <w:rPr>
          <w:rFonts w:ascii="Times New Roman" w:eastAsia="ＭＳ Ｐ明朝" w:hAnsi="Times New Roman"/>
          <w:sz w:val="20"/>
          <w:szCs w:val="21"/>
          <w:lang w:eastAsia="ja-JP"/>
        </w:rPr>
        <w:t>HST</w:t>
      </w:r>
      <w:r w:rsidRPr="00F46EF2">
        <w:rPr>
          <w:rFonts w:ascii="Times New Roman" w:eastAsia="ＭＳ Ｐ明朝" w:hAnsi="Times New Roman"/>
          <w:sz w:val="20"/>
          <w:szCs w:val="21"/>
          <w:lang w:eastAsia="ja-JP"/>
        </w:rPr>
        <w:t>に</w:t>
      </w:r>
      <w:r w:rsidR="008B1194" w:rsidRPr="00F46EF2">
        <w:rPr>
          <w:rFonts w:ascii="Times New Roman" w:eastAsia="ＭＳ Ｐ明朝" w:hAnsi="Times New Roman"/>
          <w:sz w:val="20"/>
          <w:szCs w:val="21"/>
          <w:lang w:eastAsia="ja-JP"/>
        </w:rPr>
        <w:t>ウェイトが適用される場合には、</w:t>
      </w:r>
      <w:r w:rsidR="008C0709" w:rsidRPr="00F46EF2">
        <w:rPr>
          <w:rFonts w:ascii="Times New Roman" w:eastAsia="ＭＳ Ｐ明朝" w:hAnsi="Times New Roman"/>
          <w:sz w:val="20"/>
          <w:szCs w:val="21"/>
          <w:lang w:eastAsia="ja-JP"/>
        </w:rPr>
        <w:t>ベネフィットの大き</w:t>
      </w:r>
      <w:r w:rsidR="008B1194" w:rsidRPr="00F46EF2">
        <w:rPr>
          <w:rFonts w:ascii="Times New Roman" w:eastAsia="ＭＳ Ｐ明朝" w:hAnsi="Times New Roman"/>
          <w:sz w:val="20"/>
          <w:szCs w:val="21"/>
          <w:lang w:eastAsia="ja-JP"/>
        </w:rPr>
        <w:t>さも考慮される。</w:t>
      </w:r>
      <w:r w:rsidR="008B1194" w:rsidRPr="00F46EF2">
        <w:rPr>
          <w:rFonts w:ascii="Times New Roman" w:eastAsia="ＭＳ Ｐ明朝" w:hAnsi="Times New Roman"/>
          <w:sz w:val="20"/>
          <w:szCs w:val="21"/>
          <w:lang w:eastAsia="ja-JP"/>
        </w:rPr>
        <w:t xml:space="preserve"> </w:t>
      </w:r>
      <w:bookmarkEnd w:id="28"/>
    </w:p>
    <w:p w14:paraId="394FC1AC" w14:textId="77777777" w:rsidR="00FF745D" w:rsidRPr="00F46EF2" w:rsidRDefault="00000000">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）では、特定の基準を満たす医薬品は</w:t>
      </w:r>
      <w:proofErr w:type="spellEnd"/>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ウルトラ・オルファン・パスウェイ」の下で処理することができる</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&lt;EndNote&gt;&lt;Cite&gt;&lt;Author&gt;Scottish Medicines Consortium&lt;/Author&gt;&lt;Year&gt;2019&lt;/Year&gt;&lt;RecNum&gt;363&lt;/RecNum&gt;&lt;DisplayText&gt;[44]&lt;/DisplayText&gt;&lt;record&gt;&lt;rec-number&gt;363&lt;/rec-number&gt;&lt;foreign-keys&gt;&lt;key app="EN" db-id="z25xddsz659sshedpdu5pda3dswx20f99sf9" timestamp="1695533121"&gt;363&lt;/key&gt;&lt;/foreign-keys&gt;&lt;ref-type name="Web Page"&gt;12&lt;/ref-type&gt;&lt;contributors&gt;&lt;authors&gt;&lt;author&gt;Scottish Medicines Consortium,&lt;/author&gt;&lt;/authors&gt;&lt;secondary-authors&gt;&lt;author&gt;Scottish Medicines Consortium,&lt;/author&gt;&lt;/secondary-authors&gt;&lt;/contributors&gt;&lt;titles&gt;&lt;title&gt;A Guide to the Ultra-Orphan Pathway&lt;/title&gt;&lt;/titles&gt;&lt;volume&gt;2023&lt;/volume&gt;&lt;number&gt;8 September&lt;/number&gt;&lt;dates&gt;&lt;year&gt;2019&lt;/year&gt;&lt;/dates&gt;&lt;urls&gt;&lt;related-urls&gt;&lt;url&gt;https://www.gov.scot/binaries/content/documents/govscot/publications/advice-and-guidance/2019/05/ultra-orphan-medicine-pathways-guidance/documents/ultra-orphan-medicines-pathway-guide/ultra-orphan-medicines-pathway-guide/govscot%3Adocument/Generic%2BGuidance%2B-%2BUltra-orphan%2Bpathway_draft%2Bguidance%2B-%2Bfinal.pdf&lt;/url&gt;&lt;/related-urls&gt;&lt;/urls&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[44]</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このパスウェイを通</w:t>
      </w:r>
      <w:proofErr w:type="spellEnd"/>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lang w:eastAsia="ja-JP"/>
        </w:rPr>
        <w:t>じて、</w:t>
      </w:r>
      <w:r w:rsidRPr="00F46EF2">
        <w:rPr>
          <w:rFonts w:ascii="Times New Roman" w:eastAsia="ＭＳ Ｐ明朝" w:hAnsi="Times New Roman"/>
          <w:sz w:val="20"/>
          <w:szCs w:val="21"/>
          <w:lang w:eastAsia="ja-JP"/>
        </w:rPr>
        <w:t>NHS</w:t>
      </w:r>
      <w:r w:rsidRPr="00F46EF2">
        <w:rPr>
          <w:rFonts w:ascii="Times New Roman" w:eastAsia="ＭＳ Ｐ明朝" w:hAnsi="Times New Roman"/>
          <w:sz w:val="20"/>
          <w:szCs w:val="21"/>
          <w:lang w:eastAsia="ja-JP"/>
        </w:rPr>
        <w:t>スコットランドでの日常的な使用に関する決定</w:t>
      </w:r>
      <w:r w:rsidR="007B2624" w:rsidRPr="00F46EF2">
        <w:rPr>
          <w:rFonts w:ascii="Times New Roman" w:eastAsia="ＭＳ Ｐ明朝" w:hAnsi="Times New Roman"/>
          <w:sz w:val="20"/>
          <w:szCs w:val="21"/>
          <w:lang w:eastAsia="ja-JP"/>
        </w:rPr>
        <w:t>（再評価）が下される前の</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年間</w:t>
      </w:r>
      <w:r w:rsidR="00547DF9" w:rsidRPr="00F46EF2">
        <w:rPr>
          <w:rFonts w:ascii="Times New Roman" w:eastAsia="ＭＳ Ｐ明朝" w:hAnsi="Times New Roman"/>
          <w:sz w:val="20"/>
          <w:szCs w:val="21"/>
          <w:lang w:eastAsia="ja-JP"/>
        </w:rPr>
        <w:t>（エビデ</w:t>
      </w:r>
      <w:r w:rsidR="00547DF9" w:rsidRPr="00F46EF2">
        <w:rPr>
          <w:rFonts w:ascii="Times New Roman" w:eastAsia="ＭＳ Ｐ明朝" w:hAnsi="Times New Roman"/>
          <w:sz w:val="20"/>
          <w:szCs w:val="21"/>
          <w:lang w:eastAsia="ja-JP"/>
        </w:rPr>
        <w:t xml:space="preserve"> </w:t>
      </w:r>
      <w:r w:rsidR="00547DF9" w:rsidRPr="00F46EF2">
        <w:rPr>
          <w:rFonts w:ascii="Times New Roman" w:eastAsia="ＭＳ Ｐ明朝" w:hAnsi="Times New Roman"/>
          <w:sz w:val="20"/>
          <w:szCs w:val="21"/>
          <w:lang w:eastAsia="ja-JP"/>
        </w:rPr>
        <w:t>ンス作成段階）、</w:t>
      </w:r>
      <w:r w:rsidRPr="00F46EF2">
        <w:rPr>
          <w:rFonts w:ascii="Times New Roman" w:eastAsia="ＭＳ Ｐ明朝" w:hAnsi="Times New Roman"/>
          <w:sz w:val="20"/>
          <w:szCs w:val="21"/>
          <w:lang w:eastAsia="ja-JP"/>
        </w:rPr>
        <w:t>医薬品をスコットランドで使用することができる。</w:t>
      </w:r>
      <w:r w:rsidR="007B2624" w:rsidRPr="00F46EF2">
        <w:rPr>
          <w:rFonts w:ascii="Times New Roman" w:eastAsia="ＭＳ Ｐ明朝" w:hAnsi="Times New Roman"/>
          <w:sz w:val="20"/>
          <w:szCs w:val="21"/>
        </w:rPr>
        <w:t>SMC</w:t>
      </w:r>
      <w:r w:rsidR="007B2624" w:rsidRPr="00F46EF2">
        <w:rPr>
          <w:rFonts w:ascii="Times New Roman" w:eastAsia="ＭＳ Ｐ明朝" w:hAnsi="Times New Roman"/>
          <w:sz w:val="20"/>
          <w:szCs w:val="21"/>
        </w:rPr>
        <w:t>の助言が「推奨されない」ものであった場合、スポンサーは</w:t>
      </w:r>
      <w:r w:rsidR="007B2624" w:rsidRPr="00F46EF2">
        <w:rPr>
          <w:rFonts w:ascii="Times New Roman" w:eastAsia="ＭＳ Ｐ明朝" w:hAnsi="Times New Roman"/>
          <w:sz w:val="20"/>
          <w:szCs w:val="21"/>
        </w:rPr>
        <w:t>PACE</w:t>
      </w:r>
      <w:r w:rsidR="007B2624" w:rsidRPr="00F46EF2">
        <w:rPr>
          <w:rFonts w:ascii="Times New Roman" w:eastAsia="ＭＳ Ｐ明朝" w:hAnsi="Times New Roman"/>
          <w:sz w:val="20"/>
          <w:szCs w:val="21"/>
        </w:rPr>
        <w:t>（</w:t>
      </w:r>
      <w:r w:rsidR="007B2624" w:rsidRPr="00F46EF2">
        <w:rPr>
          <w:rFonts w:ascii="Times New Roman" w:eastAsia="ＭＳ Ｐ明朝" w:hAnsi="Times New Roman"/>
          <w:sz w:val="20"/>
          <w:szCs w:val="21"/>
        </w:rPr>
        <w:t>Patient and Clinician Engagement</w:t>
      </w:r>
      <w:r w:rsidR="007B2624" w:rsidRPr="00F46EF2">
        <w:rPr>
          <w:rFonts w:ascii="Times New Roman" w:eastAsia="ＭＳ Ｐ明朝" w:hAnsi="Times New Roman"/>
          <w:sz w:val="20"/>
          <w:szCs w:val="21"/>
        </w:rPr>
        <w:t>）会議の開催を要</w:t>
      </w:r>
      <w:r w:rsidR="007B2624" w:rsidRPr="00F46EF2">
        <w:rPr>
          <w:rFonts w:ascii="Times New Roman" w:eastAsia="ＭＳ Ｐ明朝" w:hAnsi="Times New Roman"/>
          <w:sz w:val="20"/>
          <w:szCs w:val="21"/>
        </w:rPr>
        <w:lastRenderedPageBreak/>
        <w:t>請することができる。</w:t>
      </w:r>
      <w:r w:rsidR="007B2624" w:rsidRPr="00F46EF2">
        <w:rPr>
          <w:rFonts w:ascii="Times New Roman" w:eastAsia="ＭＳ Ｐ明朝" w:hAnsi="Times New Roman"/>
          <w:sz w:val="20"/>
          <w:szCs w:val="21"/>
          <w:lang w:eastAsia="ja-JP"/>
        </w:rPr>
        <w:t>これは、従来の臨床的・経済的評価では十分に把握されない可能性のある医薬品の価値を探るために、患者グループと臨床医が追加的に参加する会議である。</w:t>
      </w:r>
      <w:r w:rsidR="007B2624" w:rsidRPr="00F46EF2">
        <w:rPr>
          <w:rFonts w:ascii="Times New Roman" w:eastAsia="ＭＳ Ｐ明朝" w:hAnsi="Times New Roman"/>
          <w:sz w:val="20"/>
          <w:szCs w:val="21"/>
          <w:lang w:eastAsia="ja-JP"/>
        </w:rPr>
        <w:t xml:space="preserve"> </w:t>
      </w:r>
      <w:r w:rsidR="007B2624"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&lt;EndNote&gt;&lt;Cite&gt;&lt;Author&gt;Scottish Medicines Consortium&lt;/Author&gt;&lt;Year&gt;n.d.&lt;/Year&gt;&lt;RecNum&gt;364&lt;/RecNum&gt;&lt;DisplayText&gt;[45]&lt;/DisplayText&gt;&lt;record&gt;&lt;rec-number&gt;364&lt;/rec-number&gt;&lt;foreign-keys&gt;&lt;key app="EN" db-id="z25xddsz659sshedpdu5pda3dswx20f99sf9" timestamp="1695533726"&gt;364&lt;/key&gt;&lt;/foreign-keys&gt;&lt;ref-type name="Web Page"&gt;12&lt;/ref-type&gt;&lt;contributors&gt;&lt;authors&gt;&lt;author&gt;Scottish Medicines Consortium,&lt;/author&gt;&lt;/authors&gt;&lt;/contributors&gt;&lt;titles&gt;&lt;title&gt;Patient and Clinician Engagement (PACE) Meetings Overview&lt;/title&gt;&lt;/titles&gt;&lt;volume&gt;2023&lt;/volume&gt;&lt;number&gt;8 September&lt;/number&gt;&lt;dates&gt;&lt;year&gt;n.d.&lt;/year&gt;&lt;/dates&gt;&lt;urls&gt;&lt;related-urls&gt;&lt;url&gt;https://www.scottishmedicines.org.uk/media/7217/pace-overview-document-v36docx.pdf&lt;/url&gt;&lt;/related-urls&gt;&lt;/urls&gt;&lt;/record&gt;&lt;/Cite&gt;&lt;/EndNote&gt;</w:instrText>
      </w:r>
      <w:r w:rsidR="007B2624"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[45]</w:t>
      </w:r>
      <w:r w:rsidR="007B2624" w:rsidRPr="00F46EF2">
        <w:rPr>
          <w:rFonts w:ascii="Times New Roman" w:eastAsia="ＭＳ Ｐ明朝" w:hAnsi="Times New Roman"/>
          <w:sz w:val="20"/>
          <w:szCs w:val="21"/>
        </w:rPr>
        <w:fldChar w:fldCharType="end"/>
      </w:r>
      <w:r w:rsidR="007B2624" w:rsidRPr="00F46EF2">
        <w:rPr>
          <w:rFonts w:ascii="Times New Roman" w:eastAsia="ＭＳ Ｐ明朝" w:hAnsi="Times New Roman"/>
          <w:sz w:val="20"/>
          <w:szCs w:val="21"/>
          <w:lang w:eastAsia="ja-JP"/>
        </w:rPr>
        <w:t>.</w:t>
      </w:r>
    </w:p>
    <w:p w14:paraId="43C5A7F8" w14:textId="77777777" w:rsidR="00FF745D" w:rsidRPr="00F46EF2" w:rsidRDefault="0069605B">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G-BA</w:t>
      </w:r>
      <w:r w:rsidRPr="00F46EF2">
        <w:rPr>
          <w:rFonts w:ascii="Times New Roman" w:eastAsia="ＭＳ Ｐ明朝" w:hAnsi="Times New Roman"/>
          <w:sz w:val="20"/>
          <w:szCs w:val="21"/>
          <w:lang w:eastAsia="ja-JP"/>
        </w:rPr>
        <w:t>）では</w:t>
      </w:r>
      <w:r w:rsidR="00000000" w:rsidRPr="00F46EF2">
        <w:rPr>
          <w:rFonts w:ascii="Times New Roman" w:eastAsia="ＭＳ Ｐ明朝" w:hAnsi="Times New Roman"/>
          <w:sz w:val="20"/>
          <w:szCs w:val="21"/>
          <w:lang w:eastAsia="ja-JP"/>
        </w:rPr>
        <w:t>、希少疾病用医薬品（オーファンドラッグ）については、</w:t>
      </w:r>
      <w:r w:rsidR="00B038AF" w:rsidRPr="00F46EF2">
        <w:rPr>
          <w:rFonts w:ascii="Times New Roman" w:eastAsia="ＭＳ Ｐ明朝" w:hAnsi="Times New Roman"/>
          <w:sz w:val="20"/>
          <w:szCs w:val="21"/>
          <w:lang w:eastAsia="ja-JP"/>
        </w:rPr>
        <w:t>EMA</w:t>
      </w:r>
      <w:r w:rsidR="00B038AF" w:rsidRPr="00F46EF2">
        <w:rPr>
          <w:rFonts w:ascii="Times New Roman" w:eastAsia="ＭＳ Ｐ明朝" w:hAnsi="Times New Roman"/>
          <w:sz w:val="20"/>
          <w:szCs w:val="21"/>
          <w:lang w:eastAsia="ja-JP"/>
        </w:rPr>
        <w:t>の承認時にベネフィットが証明され、その後の市場参入が想定されている。希少疾病用医薬品の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プロセスでは、</w:t>
      </w:r>
      <w:r w:rsidR="00527CC3" w:rsidRPr="00F46EF2">
        <w:rPr>
          <w:rFonts w:ascii="Times New Roman" w:eastAsia="ＭＳ Ｐ明朝" w:hAnsi="Times New Roman"/>
          <w:sz w:val="20"/>
          <w:szCs w:val="21"/>
          <w:lang w:eastAsia="ja-JP"/>
        </w:rPr>
        <w:t>年間売上高が</w:t>
      </w:r>
      <w:r w:rsidR="00527CC3" w:rsidRPr="00F46EF2">
        <w:rPr>
          <w:rFonts w:ascii="Times New Roman" w:eastAsia="ＭＳ Ｐ明朝" w:hAnsi="Times New Roman"/>
          <w:sz w:val="20"/>
          <w:szCs w:val="21"/>
          <w:lang w:eastAsia="ja-JP"/>
        </w:rPr>
        <w:t>5,000</w:t>
      </w:r>
      <w:r w:rsidR="00527CC3" w:rsidRPr="00F46EF2">
        <w:rPr>
          <w:rFonts w:ascii="Times New Roman" w:eastAsia="ＭＳ Ｐ明朝" w:hAnsi="Times New Roman"/>
          <w:sz w:val="20"/>
          <w:szCs w:val="21"/>
          <w:lang w:eastAsia="ja-JP"/>
        </w:rPr>
        <w:t>万ユーロ</w:t>
      </w:r>
      <w:r w:rsidR="00B038AF" w:rsidRPr="00F46EF2">
        <w:rPr>
          <w:rFonts w:ascii="Times New Roman" w:eastAsia="ＭＳ Ｐ明朝" w:hAnsi="Times New Roman"/>
          <w:sz w:val="20"/>
          <w:szCs w:val="21"/>
          <w:lang w:eastAsia="ja-JP"/>
        </w:rPr>
        <w:t>以下であれば、</w:t>
      </w:r>
      <w:r w:rsidRPr="00F46EF2">
        <w:rPr>
          <w:rFonts w:ascii="Times New Roman" w:eastAsia="ＭＳ Ｐ明朝" w:hAnsi="Times New Roman"/>
          <w:sz w:val="20"/>
          <w:szCs w:val="21"/>
          <w:lang w:eastAsia="ja-JP"/>
        </w:rPr>
        <w:t>経済評価は不要である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10C9AFAF" w14:textId="77777777" w:rsidR="00FF745D" w:rsidRDefault="00000000">
      <w:pPr>
        <w:pStyle w:val="a3"/>
        <w:rPr>
          <w:rFonts w:ascii="Times New Roman" w:eastAsia="ＭＳ Ｐ明朝" w:hAnsi="Times New Roman"/>
          <w:sz w:val="20"/>
          <w:szCs w:val="21"/>
          <w:lang w:eastAsia="ja-JP"/>
        </w:rPr>
      </w:pPr>
      <w:r w:rsidRPr="00F46EF2" w:rsidDel="004947C7">
        <w:rPr>
          <w:rFonts w:ascii="Times New Roman" w:eastAsia="ＭＳ Ｐ明朝" w:hAnsi="Times New Roman"/>
          <w:sz w:val="20"/>
          <w:szCs w:val="21"/>
          <w:lang w:eastAsia="ja-JP"/>
        </w:rPr>
        <w:t>オーストラリアを含む一部の</w:t>
      </w:r>
      <w:r w:rsidRPr="00F46EF2">
        <w:rPr>
          <w:rFonts w:ascii="Times New Roman" w:eastAsia="ＭＳ Ｐ明朝" w:hAnsi="Times New Roman"/>
          <w:sz w:val="20"/>
          <w:szCs w:val="21"/>
          <w:lang w:eastAsia="ja-JP"/>
        </w:rPr>
        <w:t>国では、</w:t>
      </w:r>
      <w:r w:rsidRPr="00F46EF2" w:rsidDel="004947C7">
        <w:rPr>
          <w:rFonts w:ascii="Times New Roman" w:eastAsia="ＭＳ Ｐ明朝" w:hAnsi="Times New Roman"/>
          <w:sz w:val="20"/>
          <w:szCs w:val="21"/>
          <w:lang w:eastAsia="ja-JP"/>
        </w:rPr>
        <w:t>希少疾患に関する技術を評価するために、別の評価委員会が設置されている。希少疾病委員会が設置されているすべての</w:t>
      </w:r>
      <w:r w:rsidR="0064555B" w:rsidRPr="00F46EF2">
        <w:rPr>
          <w:rFonts w:ascii="Times New Roman" w:eastAsia="ＭＳ Ｐ明朝" w:hAnsi="Times New Roman"/>
          <w:sz w:val="20"/>
          <w:szCs w:val="21"/>
          <w:lang w:eastAsia="ja-JP"/>
        </w:rPr>
        <w:t>法域において、</w:t>
      </w:r>
      <w:r w:rsidRPr="00F46EF2" w:rsidDel="004947C7">
        <w:rPr>
          <w:rFonts w:ascii="Times New Roman" w:eastAsia="ＭＳ Ｐ明朝" w:hAnsi="Times New Roman"/>
          <w:sz w:val="20"/>
          <w:szCs w:val="21"/>
          <w:lang w:eastAsia="ja-JP"/>
        </w:rPr>
        <w:t>患者からの意見は意思決定の枠組みに組み込まれている。希少疾患治療薬の評価は、一般的に臨床的・経済的エビデンスに基づいて行われるが、ほとんどの</w:t>
      </w:r>
      <w:r w:rsidRPr="00F46EF2" w:rsidDel="004947C7">
        <w:rPr>
          <w:rFonts w:ascii="Times New Roman" w:eastAsia="ＭＳ Ｐ明朝" w:hAnsi="Times New Roman"/>
          <w:sz w:val="20"/>
          <w:szCs w:val="21"/>
          <w:lang w:eastAsia="ja-JP"/>
        </w:rPr>
        <w:t>HTA</w:t>
      </w:r>
      <w:r w:rsidRPr="00F46EF2" w:rsidDel="004947C7">
        <w:rPr>
          <w:rFonts w:ascii="Times New Roman" w:eastAsia="ＭＳ Ｐ明朝" w:hAnsi="Times New Roman"/>
          <w:sz w:val="20"/>
          <w:szCs w:val="21"/>
          <w:lang w:eastAsia="ja-JP"/>
        </w:rPr>
        <w:t>機関・団体は、希少疾患治療薬の評価において、確固たる臨床的・経済的エビデンスが少ないことの影響を認識している</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693F9BB6" w14:textId="77777777" w:rsidR="00156C9E" w:rsidRPr="00F46EF2" w:rsidRDefault="00156C9E">
      <w:pPr>
        <w:pStyle w:val="a3"/>
        <w:rPr>
          <w:rFonts w:ascii="Times New Roman" w:eastAsia="ＭＳ Ｐ明朝" w:hAnsi="Times New Roman"/>
          <w:sz w:val="20"/>
          <w:szCs w:val="21"/>
          <w:lang w:eastAsia="ja-JP"/>
        </w:rPr>
      </w:pPr>
    </w:p>
    <w:p w14:paraId="24659734" w14:textId="77777777" w:rsidR="00FF745D" w:rsidRPr="00F46EF2" w:rsidRDefault="00C03061">
      <w:pPr>
        <w:pStyle w:val="NbrHeading3"/>
        <w:rPr>
          <w:rFonts w:ascii="Times New Roman" w:eastAsia="ＭＳ Ｐ明朝" w:hAnsi="Times New Roman"/>
          <w:sz w:val="20"/>
          <w:szCs w:val="21"/>
          <w:lang w:eastAsia="ja-JP"/>
        </w:rPr>
      </w:pPr>
      <w:bookmarkStart w:id="29" w:name="_Toc161997088"/>
      <w:proofErr w:type="spellStart"/>
      <w:r w:rsidRPr="00F46EF2">
        <w:rPr>
          <w:rFonts w:ascii="Times New Roman" w:eastAsia="ＭＳ Ｐ明朝" w:hAnsi="Times New Roman"/>
          <w:sz w:val="20"/>
          <w:szCs w:val="21"/>
          <w:lang w:eastAsia="ja-JP"/>
        </w:rPr>
        <w:t>高い</w:t>
      </w:r>
      <w:r w:rsidR="004947C7" w:rsidRPr="00F46EF2">
        <w:rPr>
          <w:rFonts w:ascii="Times New Roman" w:eastAsia="ＭＳ Ｐ明朝" w:hAnsi="Times New Roman"/>
          <w:sz w:val="20"/>
          <w:szCs w:val="21"/>
          <w:lang w:eastAsia="ja-JP"/>
        </w:rPr>
        <w:t>アンメット・クリニカル・ニーズと公平性への配慮</w:t>
      </w:r>
      <w:bookmarkEnd w:id="29"/>
      <w:proofErr w:type="spellEnd"/>
    </w:p>
    <w:p w14:paraId="68667C6E" w14:textId="77777777" w:rsidR="00FF745D" w:rsidRPr="00F46EF2" w:rsidRDefault="00C03061">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アンメット・クリニカル・ニーズは、</w:t>
      </w:r>
      <w:r w:rsidR="00131BD2" w:rsidRPr="00F46EF2">
        <w:rPr>
          <w:rFonts w:ascii="Times New Roman" w:eastAsia="ＭＳ Ｐ明朝" w:hAnsi="Times New Roman"/>
          <w:sz w:val="20"/>
          <w:szCs w:val="21"/>
          <w:lang w:eastAsia="ja-JP"/>
        </w:rPr>
        <w:t>意思決定</w:t>
      </w:r>
      <w:r w:rsidRPr="00F46EF2">
        <w:rPr>
          <w:rFonts w:ascii="Times New Roman" w:eastAsia="ＭＳ Ｐ明朝" w:hAnsi="Times New Roman"/>
          <w:sz w:val="20"/>
          <w:szCs w:val="21"/>
          <w:lang w:eastAsia="ja-JP"/>
        </w:rPr>
        <w:t>プロセスに</w:t>
      </w:r>
      <w:r w:rsidR="001C3C41" w:rsidRPr="00F46EF2">
        <w:rPr>
          <w:rFonts w:ascii="Times New Roman" w:eastAsia="ＭＳ Ｐ明朝" w:hAnsi="Times New Roman"/>
          <w:sz w:val="20"/>
          <w:szCs w:val="21"/>
          <w:lang w:eastAsia="ja-JP"/>
        </w:rPr>
        <w:t>非公式に</w:t>
      </w:r>
      <w:r w:rsidRPr="00F46EF2">
        <w:rPr>
          <w:rFonts w:ascii="Times New Roman" w:eastAsia="ＭＳ Ｐ明朝" w:hAnsi="Times New Roman"/>
          <w:sz w:val="20"/>
          <w:szCs w:val="21"/>
          <w:lang w:eastAsia="ja-JP"/>
        </w:rPr>
        <w:t>組み込まれることが多く、希少疾病用医薬品の承認に大きな影響を与えたという証拠がある</w:t>
      </w:r>
      <w:r w:rsidRPr="00F46EF2">
        <w:rPr>
          <w:rFonts w:ascii="Times New Roman" w:eastAsia="ＭＳ Ｐ明朝" w:hAnsi="Times New Roman"/>
          <w:sz w:val="20"/>
          <w:szCs w:val="21"/>
          <w:lang w:eastAsia="ja-JP"/>
        </w:rPr>
        <w:t>[46]</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&lt;EndNote&gt;&lt;Cite&gt;&lt;Author&gt;Nicod&lt;/Author&gt;&lt;Year&gt;2017&lt;/Year&gt;&lt;RecNum&gt;242&lt;/RecNum&gt;&lt;DisplayText&gt;[46]&lt;/DisplayText&gt;&lt;record&gt;&lt;rec-number&gt;242&lt;/rec-number&gt;&lt;foreign-keys&gt;&lt;key app="EN" db-id="z25xddsz659sshedpdu5pda3dswx20f99sf9" timestamp="1692007814"&gt;242&lt;/key&gt;&lt;/foreign-keys&gt;&lt;ref-type name="Journal Article"&gt;17&lt;/ref-type&gt;&lt;contributors&gt;&lt;authors&gt;&lt;author&gt;Nicod, Elena&lt;/author&gt;&lt;/authors&gt;&lt;/contributors&gt;&lt;titles&gt;&lt;title&gt;Why do health technology assessment coverage recommendations for the same drugs differ across settings? Applying a mixed methods framework to systematically compare orphan drug decisions in four European countries&lt;/title&gt;&lt;secondary-title&gt;The European Journal of Health Economics&lt;/secondary-title&gt;&lt;/titles&gt;&lt;periodical&gt;&lt;full-title&gt;The European Journal of Health Economics&lt;/full-title&gt;&lt;/periodical&gt;&lt;pages&gt;715-730&lt;/pages&gt;&lt;volume&gt;18&lt;/volume&gt;&lt;dates&gt;&lt;year&gt;2017&lt;/year&gt;&lt;/dates&gt;&lt;isbn&gt;1618-7598&lt;/isbn&gt;&lt;urls&gt;&lt;/urls&gt;&lt;/record&gt;&lt;/Cite&gt;&lt;/EndNote&gt;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[46]</w:t>
      </w:r>
      <w:r w:rsidR="007B773F" w:rsidRPr="00F46EF2">
        <w:rPr>
          <w:rFonts w:ascii="Times New Roman" w:eastAsia="ＭＳ Ｐ明朝" w:hAnsi="Times New Roman"/>
          <w:sz w:val="20"/>
          <w:szCs w:val="21"/>
        </w:rPr>
        <w:fldChar w:fldCharType="end"/>
      </w:r>
      <w:r w:rsidR="00AF644D" w:rsidRPr="00F46EF2">
        <w:rPr>
          <w:rFonts w:ascii="Times New Roman" w:eastAsia="ＭＳ Ｐ明朝" w:hAnsi="Times New Roman"/>
          <w:sz w:val="20"/>
          <w:szCs w:val="21"/>
          <w:lang w:eastAsia="ja-JP"/>
        </w:rPr>
        <w:t>.MSAC</w:t>
      </w:r>
      <w:r w:rsidR="00AF644D" w:rsidRPr="00F46EF2">
        <w:rPr>
          <w:rFonts w:ascii="Times New Roman" w:eastAsia="ＭＳ Ｐ明朝" w:hAnsi="Times New Roman"/>
          <w:sz w:val="20"/>
          <w:szCs w:val="21"/>
          <w:lang w:eastAsia="ja-JP"/>
        </w:rPr>
        <w:t>ガイドラインは、健康格差</w:t>
      </w:r>
      <w:r w:rsidR="007E5E27" w:rsidRPr="00F46EF2">
        <w:rPr>
          <w:rFonts w:ascii="Times New Roman" w:eastAsia="ＭＳ Ｐ明朝" w:hAnsi="Times New Roman"/>
          <w:sz w:val="20"/>
          <w:szCs w:val="21"/>
          <w:lang w:eastAsia="ja-JP"/>
        </w:rPr>
        <w:t>（例えば</w:t>
      </w:r>
      <w:r w:rsidR="007C5F86" w:rsidRPr="00F46EF2">
        <w:rPr>
          <w:rFonts w:ascii="Times New Roman" w:eastAsia="ＭＳ Ｐ明朝" w:hAnsi="Times New Roman"/>
          <w:sz w:val="20"/>
          <w:szCs w:val="21"/>
          <w:lang w:eastAsia="ja-JP"/>
        </w:rPr>
        <w:t>、</w:t>
      </w:r>
      <w:r w:rsidR="007C5F86" w:rsidRPr="00F46EF2">
        <w:rPr>
          <w:rFonts w:ascii="Times New Roman" w:eastAsia="ＭＳ Ｐ明朝" w:hAnsi="Times New Roman"/>
          <w:sz w:val="20"/>
          <w:szCs w:val="20"/>
          <w:lang w:eastAsia="ja-JP"/>
        </w:rPr>
        <w:t>農村部や遠隔地における医療へのアクセスの差に起因する</w:t>
      </w:r>
      <w:r w:rsidR="007E5E27" w:rsidRPr="00F46EF2">
        <w:rPr>
          <w:rFonts w:ascii="Times New Roman" w:eastAsia="ＭＳ Ｐ明朝" w:hAnsi="Times New Roman"/>
          <w:sz w:val="20"/>
          <w:szCs w:val="20"/>
          <w:lang w:eastAsia="ja-JP"/>
        </w:rPr>
        <w:t>もの</w:t>
      </w:r>
      <w:r w:rsidR="007C5F86" w:rsidRPr="00F46EF2">
        <w:rPr>
          <w:rFonts w:ascii="Times New Roman" w:eastAsia="ＭＳ Ｐ明朝" w:hAnsi="Times New Roman"/>
          <w:sz w:val="20"/>
          <w:szCs w:val="20"/>
          <w:lang w:eastAsia="ja-JP"/>
        </w:rPr>
        <w:t>、あるいはアンメット・クリニカル・ニーズのある地域</w:t>
      </w:r>
      <w:r w:rsidR="00AF644D" w:rsidRPr="00F46EF2">
        <w:rPr>
          <w:rFonts w:ascii="Times New Roman" w:eastAsia="ＭＳ Ｐ明朝" w:hAnsi="Times New Roman"/>
          <w:sz w:val="20"/>
          <w:szCs w:val="21"/>
          <w:lang w:eastAsia="ja-JP"/>
        </w:rPr>
        <w:t>）に対処する医療技術について</w:t>
      </w:r>
      <w:r w:rsidR="007E5E27" w:rsidRPr="00F46EF2">
        <w:rPr>
          <w:rFonts w:ascii="Times New Roman" w:eastAsia="ＭＳ Ｐ明朝" w:hAnsi="Times New Roman"/>
          <w:sz w:val="20"/>
          <w:szCs w:val="21"/>
          <w:lang w:eastAsia="ja-JP"/>
        </w:rPr>
        <w:t>、影響を受けるサブグループを特定すべきであると勧告している</w:t>
      </w:r>
      <w:r w:rsidR="007C5F86" w:rsidRPr="00F46EF2">
        <w:rPr>
          <w:rFonts w:ascii="Times New Roman" w:eastAsia="ＭＳ Ｐ明朝" w:hAnsi="Times New Roman"/>
          <w:sz w:val="20"/>
          <w:szCs w:val="21"/>
          <w:lang w:eastAsia="ja-JP"/>
        </w:rPr>
        <w:t>。</w:t>
      </w:r>
      <w:r w:rsidR="00CE4065" w:rsidRPr="00F46EF2">
        <w:rPr>
          <w:rFonts w:ascii="Times New Roman" w:eastAsia="ＭＳ Ｐ明朝" w:hAnsi="Times New Roman"/>
          <w:sz w:val="20"/>
          <w:szCs w:val="21"/>
          <w:lang w:eastAsia="ja-JP"/>
        </w:rPr>
        <w:t>PBAC</w:t>
      </w:r>
      <w:r w:rsidR="00CE4065" w:rsidRPr="00F46EF2">
        <w:rPr>
          <w:rFonts w:ascii="Times New Roman" w:eastAsia="ＭＳ Ｐ明朝" w:hAnsi="Times New Roman"/>
          <w:sz w:val="20"/>
          <w:szCs w:val="21"/>
          <w:lang w:eastAsia="ja-JP"/>
        </w:rPr>
        <w:t>ガイドラインでは、「臨床的必要性」は</w:t>
      </w:r>
      <w:r w:rsidR="00CE4065" w:rsidRPr="00F46EF2">
        <w:rPr>
          <w:rFonts w:ascii="Times New Roman" w:eastAsia="ＭＳ Ｐ明朝" w:hAnsi="Times New Roman"/>
          <w:sz w:val="20"/>
          <w:szCs w:val="21"/>
          <w:lang w:eastAsia="ja-JP"/>
        </w:rPr>
        <w:t>PBAC</w:t>
      </w:r>
      <w:r w:rsidR="00CE4065" w:rsidRPr="00F46EF2">
        <w:rPr>
          <w:rFonts w:ascii="Times New Roman" w:eastAsia="ＭＳ Ｐ明朝" w:hAnsi="Times New Roman"/>
          <w:sz w:val="20"/>
          <w:szCs w:val="21"/>
          <w:lang w:eastAsia="ja-JP"/>
        </w:rPr>
        <w:t>の意思決定に影響を与える定量化しにくい要因の一つとして</w:t>
      </w:r>
      <w:r w:rsidR="00AE768F" w:rsidRPr="00F46EF2">
        <w:rPr>
          <w:rFonts w:ascii="Times New Roman" w:eastAsia="ＭＳ Ｐ明朝" w:hAnsi="Times New Roman"/>
          <w:sz w:val="20"/>
          <w:szCs w:val="21"/>
          <w:lang w:eastAsia="ja-JP"/>
        </w:rPr>
        <w:t>記述されている。</w:t>
      </w:r>
      <w:r w:rsidR="00CE4065" w:rsidRPr="00F46EF2">
        <w:rPr>
          <w:rFonts w:ascii="Times New Roman" w:eastAsia="ＭＳ Ｐ明朝" w:hAnsi="Times New Roman"/>
          <w:sz w:val="20"/>
          <w:szCs w:val="21"/>
          <w:lang w:eastAsia="ja-JP"/>
        </w:rPr>
        <w:t>臨床上の必要性が満たされていない地域で</w:t>
      </w:r>
      <w:r w:rsidR="00CE4065" w:rsidRPr="00F46EF2">
        <w:rPr>
          <w:rFonts w:ascii="Times New Roman" w:eastAsia="ＭＳ Ｐ明朝" w:hAnsi="Times New Roman"/>
          <w:sz w:val="20"/>
          <w:szCs w:val="21"/>
          <w:lang w:eastAsia="ja-JP"/>
        </w:rPr>
        <w:t>PBAC</w:t>
      </w:r>
      <w:r w:rsidR="00CE4065" w:rsidRPr="00F46EF2">
        <w:rPr>
          <w:rFonts w:ascii="Times New Roman" w:eastAsia="ＭＳ Ｐ明朝" w:hAnsi="Times New Roman"/>
          <w:sz w:val="20"/>
          <w:szCs w:val="21"/>
          <w:lang w:eastAsia="ja-JP"/>
        </w:rPr>
        <w:t>が下した決定は、公開の要約文書に記録することができる。</w:t>
      </w:r>
      <w:r w:rsidR="002C1D59" w:rsidRPr="00F46EF2">
        <w:rPr>
          <w:rFonts w:ascii="Times New Roman" w:eastAsia="ＭＳ Ｐ明朝" w:hAnsi="Times New Roman"/>
          <w:sz w:val="20"/>
          <w:szCs w:val="21"/>
          <w:lang w:eastAsia="ja-JP"/>
        </w:rPr>
        <w:t>アンメット・クリニカル・ニーズは、レビューされた他の</w:t>
      </w:r>
      <w:r w:rsidR="00063F40" w:rsidRPr="00F46EF2">
        <w:rPr>
          <w:rFonts w:ascii="Times New Roman" w:eastAsia="ＭＳ Ｐ明朝" w:hAnsi="Times New Roman"/>
          <w:sz w:val="20"/>
          <w:szCs w:val="21"/>
          <w:lang w:eastAsia="ja-JP"/>
        </w:rPr>
        <w:t>国際的な</w:t>
      </w:r>
      <w:r w:rsidR="002C1D59" w:rsidRPr="00F46EF2">
        <w:rPr>
          <w:rFonts w:ascii="Times New Roman" w:eastAsia="ＭＳ Ｐ明朝" w:hAnsi="Times New Roman"/>
          <w:sz w:val="20"/>
          <w:szCs w:val="21"/>
          <w:lang w:eastAsia="ja-JP"/>
        </w:rPr>
        <w:t>HTA</w:t>
      </w:r>
      <w:r w:rsidR="002C1D59" w:rsidRPr="00F46EF2">
        <w:rPr>
          <w:rFonts w:ascii="Times New Roman" w:eastAsia="ＭＳ Ｐ明朝" w:hAnsi="Times New Roman"/>
          <w:sz w:val="20"/>
          <w:szCs w:val="21"/>
          <w:lang w:eastAsia="ja-JP"/>
        </w:rPr>
        <w:t>ガイドラインのいずれにおいても、</w:t>
      </w:r>
      <w:r w:rsidR="002C1D59" w:rsidRPr="00F46EF2">
        <w:rPr>
          <w:rFonts w:ascii="Times New Roman" w:eastAsia="ＭＳ Ｐ明朝" w:hAnsi="Times New Roman"/>
          <w:sz w:val="20"/>
          <w:szCs w:val="21"/>
          <w:lang w:eastAsia="ja-JP"/>
        </w:rPr>
        <w:t xml:space="preserve"> </w:t>
      </w:r>
      <w:proofErr w:type="spellStart"/>
      <w:r w:rsidR="002C1D59" w:rsidRPr="00F46EF2">
        <w:rPr>
          <w:rFonts w:ascii="Times New Roman" w:eastAsia="ＭＳ Ｐ明朝" w:hAnsi="Times New Roman"/>
          <w:sz w:val="20"/>
          <w:szCs w:val="21"/>
          <w:lang w:eastAsia="ja-JP"/>
        </w:rPr>
        <w:t>明確に扱われていない</w:t>
      </w:r>
      <w:proofErr w:type="spellEnd"/>
      <w:r w:rsidR="002C1D59" w:rsidRPr="00F46EF2">
        <w:rPr>
          <w:rFonts w:ascii="Times New Roman" w:eastAsia="ＭＳ Ｐ明朝" w:hAnsi="Times New Roman"/>
          <w:sz w:val="20"/>
          <w:szCs w:val="21"/>
          <w:lang w:eastAsia="ja-JP"/>
        </w:rPr>
        <w:t>。</w:t>
      </w:r>
      <w:r w:rsidR="002C1D59" w:rsidRPr="00F46EF2">
        <w:rPr>
          <w:rFonts w:ascii="Times New Roman" w:eastAsia="ＭＳ Ｐ明朝" w:hAnsi="Times New Roman"/>
          <w:sz w:val="20"/>
          <w:szCs w:val="21"/>
          <w:lang w:eastAsia="ja-JP"/>
        </w:rPr>
        <w:t xml:space="preserve"> </w:t>
      </w:r>
    </w:p>
    <w:p w14:paraId="3EC0804C"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限られた数の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ガイドラインが、技術の衡平性への影響が重要であり、考慮すべきであると明確に言及している（オーストラリア（</w:t>
      </w:r>
      <w:r w:rsidRPr="00F46EF2">
        <w:rPr>
          <w:rFonts w:ascii="Times New Roman" w:eastAsia="ＭＳ Ｐ明朝" w:hAnsi="Times New Roman"/>
          <w:sz w:val="20"/>
          <w:szCs w:val="21"/>
          <w:lang w:eastAsia="ja-JP"/>
        </w:rPr>
        <w:t>MSAC/PBAC</w:t>
      </w:r>
      <w:r w:rsidRPr="00F46EF2">
        <w:rPr>
          <w:rFonts w:ascii="Times New Roman" w:eastAsia="ＭＳ Ｐ明朝" w:hAnsi="Times New Roman"/>
          <w:sz w:val="20"/>
          <w:szCs w:val="21"/>
          <w:lang w:eastAsia="ja-JP"/>
        </w:rPr>
        <w:t>）、カナダ（</w:t>
      </w:r>
      <w:r w:rsidRPr="00F46EF2">
        <w:rPr>
          <w:rFonts w:ascii="Times New Roman" w:eastAsia="ＭＳ Ｐ明朝" w:hAnsi="Times New Roman"/>
          <w:sz w:val="20"/>
          <w:szCs w:val="21"/>
          <w:lang w:eastAsia="ja-JP"/>
        </w:rPr>
        <w:t>CADTH</w:t>
      </w:r>
      <w:r w:rsidRPr="00F46EF2">
        <w:rPr>
          <w:rFonts w:ascii="Times New Roman" w:eastAsia="ＭＳ Ｐ明朝" w:hAnsi="Times New Roman"/>
          <w:sz w:val="20"/>
          <w:szCs w:val="21"/>
          <w:lang w:eastAsia="ja-JP"/>
        </w:rPr>
        <w:t>）、イングランド・ウェールズ（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）、韓国（</w:t>
      </w:r>
      <w:r w:rsidRPr="00F46EF2">
        <w:rPr>
          <w:rFonts w:ascii="Times New Roman" w:eastAsia="ＭＳ Ｐ明朝" w:hAnsi="Times New Roman"/>
          <w:sz w:val="20"/>
          <w:szCs w:val="21"/>
          <w:lang w:eastAsia="ja-JP"/>
        </w:rPr>
        <w:t>HIRA</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）、スペイン（</w:t>
      </w:r>
      <w:r w:rsidRPr="00F46EF2">
        <w:rPr>
          <w:rFonts w:ascii="Times New Roman" w:eastAsia="ＭＳ Ｐ明朝" w:hAnsi="Times New Roman"/>
          <w:sz w:val="20"/>
          <w:szCs w:val="21"/>
          <w:lang w:eastAsia="ja-JP"/>
        </w:rPr>
        <w:t>HTAA</w:t>
      </w:r>
      <w:r w:rsidRPr="00F46EF2">
        <w:rPr>
          <w:rFonts w:ascii="Times New Roman" w:eastAsia="ＭＳ Ｐ明朝" w:hAnsi="Times New Roman"/>
          <w:sz w:val="20"/>
          <w:szCs w:val="21"/>
          <w:lang w:eastAsia="ja-JP"/>
        </w:rPr>
        <w:t>）、台湾（</w:t>
      </w:r>
      <w:r w:rsidRPr="00F46EF2">
        <w:rPr>
          <w:rFonts w:ascii="Times New Roman" w:eastAsia="ＭＳ Ｐ明朝" w:hAnsi="Times New Roman"/>
          <w:sz w:val="20"/>
          <w:szCs w:val="21"/>
          <w:lang w:eastAsia="ja-JP"/>
        </w:rPr>
        <w:t>CDE</w:t>
      </w:r>
      <w:r w:rsidRPr="00F46EF2">
        <w:rPr>
          <w:rFonts w:ascii="Times New Roman" w:eastAsia="ＭＳ Ｐ明朝" w:hAnsi="Times New Roman"/>
          <w:sz w:val="20"/>
          <w:szCs w:val="21"/>
          <w:lang w:eastAsia="ja-JP"/>
        </w:rPr>
        <w:t>））。いずれの場合も、費用対効果分析と並行して衡平性への配慮が行われており、すべてのガイドラインが、問題となっている介入を受ける人々やその影響を受ける人々の特徴にかかわらず、ベースケース分析における</w:t>
      </w:r>
      <w:r w:rsidRPr="00F46EF2">
        <w:rPr>
          <w:rFonts w:ascii="Times New Roman" w:eastAsia="ＭＳ Ｐ明朝" w:hAnsi="Times New Roman"/>
          <w:sz w:val="20"/>
          <w:szCs w:val="21"/>
          <w:lang w:eastAsia="ja-JP"/>
        </w:rPr>
        <w:t>QALY</w:t>
      </w:r>
      <w:r w:rsidRPr="00F46EF2">
        <w:rPr>
          <w:rFonts w:ascii="Times New Roman" w:eastAsia="ＭＳ Ｐ明朝" w:hAnsi="Times New Roman"/>
          <w:sz w:val="20"/>
          <w:szCs w:val="21"/>
          <w:lang w:eastAsia="ja-JP"/>
        </w:rPr>
        <w:t>の重み付けを等しくすることを推奨している。</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lastRenderedPageBreak/>
        <w:t>つの機関（イングランド・ウェールズ（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）、オランダ（</w:t>
      </w:r>
      <w:r w:rsidRPr="00F46EF2">
        <w:rPr>
          <w:rFonts w:ascii="Times New Roman" w:eastAsia="ＭＳ Ｐ明朝" w:hAnsi="Times New Roman"/>
          <w:sz w:val="20"/>
          <w:szCs w:val="21"/>
          <w:lang w:eastAsia="ja-JP"/>
        </w:rPr>
        <w:t>ZIN</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NoMA/NIPH</w:t>
      </w:r>
      <w:r w:rsidRPr="00F46EF2">
        <w:rPr>
          <w:rFonts w:ascii="Times New Roman" w:eastAsia="ＭＳ Ｐ明朝" w:hAnsi="Times New Roman"/>
          <w:sz w:val="20"/>
          <w:szCs w:val="21"/>
          <w:lang w:eastAsia="ja-JP"/>
        </w:rPr>
        <w:t>））は、いくつかの新しい医療技術について、有効な費用対効果の閾値を高める手段として、特定の集団サブグループに衡平性加重を適用する慣行を運用している。他の管轄区域では、質的審議が衡平性の要因を検討する方法となっている。</w:t>
      </w:r>
      <w:r w:rsidRPr="00F46EF2">
        <w:rPr>
          <w:rFonts w:ascii="Times New Roman" w:eastAsia="ＭＳ Ｐ明朝" w:hAnsi="Times New Roman"/>
          <w:sz w:val="20"/>
          <w:szCs w:val="21"/>
          <w:lang w:eastAsia="ja-JP"/>
        </w:rPr>
        <w:t xml:space="preserve"> </w:t>
      </w:r>
    </w:p>
    <w:p w14:paraId="7A06B281" w14:textId="77777777" w:rsidR="00FF745D" w:rsidRPr="00F46EF2" w:rsidRDefault="00C03061">
      <w:pPr>
        <w:pStyle w:val="a3"/>
        <w:rPr>
          <w:rFonts w:ascii="Times New Roman" w:eastAsia="ＭＳ Ｐ明朝" w:hAnsi="Times New Roman"/>
          <w:sz w:val="20"/>
          <w:szCs w:val="21"/>
          <w:lang w:eastAsia="ja-JP"/>
        </w:rPr>
      </w:pPr>
      <w:proofErr w:type="spellStart"/>
      <w:r w:rsidRPr="00F46EF2">
        <w:rPr>
          <w:rFonts w:ascii="Times New Roman" w:eastAsia="ＭＳ Ｐ明朝" w:hAnsi="Times New Roman"/>
          <w:sz w:val="20"/>
          <w:szCs w:val="21"/>
          <w:lang w:eastAsia="ja-JP"/>
        </w:rPr>
        <w:t>アボリジニ及びトレス海峡諸島民とマオリ族はそれぞれ、疾病の負担が高く、医療サ</w:t>
      </w:r>
      <w:proofErr w:type="spellEnd"/>
      <w:r w:rsidRPr="00F46EF2">
        <w:rPr>
          <w:rFonts w:ascii="Times New Roman" w:eastAsia="ＭＳ Ｐ明朝" w:hAnsi="Times New Roman"/>
          <w:sz w:val="20"/>
          <w:szCs w:val="21"/>
          <w:lang w:eastAsia="ja-JP"/>
        </w:rPr>
        <w:t>ー</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ビスへのアクセスが困難であることから</w:t>
      </w:r>
      <w:r w:rsidR="00000000" w:rsidRPr="00F46EF2">
        <w:rPr>
          <w:rFonts w:ascii="Times New Roman" w:eastAsia="ＭＳ Ｐ明朝" w:hAnsi="Times New Roman"/>
          <w:sz w:val="20"/>
          <w:szCs w:val="21"/>
          <w:lang w:eastAsia="ja-JP"/>
        </w:rPr>
        <w:t>、オーストラリアとニュージーランドは、</w:t>
      </w:r>
      <w:r w:rsidRPr="00F46EF2">
        <w:rPr>
          <w:rFonts w:ascii="Times New Roman" w:eastAsia="ＭＳ Ｐ明朝" w:hAnsi="Times New Roman"/>
          <w:sz w:val="20"/>
          <w:szCs w:val="21"/>
          <w:lang w:eastAsia="ja-JP"/>
        </w:rPr>
        <w:t>い</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くつかの医薬品に特別な権限を持つ民族基準を採用している</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Government&lt;/Author&gt;&lt;Year&gt;2022&lt;/Year&gt;&lt;RecNum&gt;159&lt;/RecNum&gt;&lt;DisplayText&gt;[47]&lt;/DisplayText&gt;&lt;record&gt;&lt;rec-number&gt;159&lt;/rec-number&gt;&lt;foreign-keys&gt;&lt;key app="EN" db-id="z25xddsz659sshedpdu5pda3dswx20f99sf9" timestamp="1692002023"&gt;159&lt;/key&gt;&lt;/foreign-keys&gt;&lt;ref-type name="Web Page"&gt;12&lt;/ref-type&gt;&lt;contributors&gt;&lt;authors&gt;&lt;author&gt;Australian Government,&lt;/author&gt;&lt;/authors&gt;&lt;secondary-authors&gt;&lt;author&gt;Department of Health and Aged Care,&lt;/author&gt;&lt;/secondary-authors&gt;&lt;/contributors&gt;&lt;titles&gt;&lt;title&gt;Listings on the PBS for Aboriginal and Torres Strait Islander people&lt;/title&gt;&lt;/titles&gt;&lt;volume&gt;2023&lt;/volume&gt;&lt;number&gt;30 June&lt;/number&gt;&lt;dates&gt;&lt;year&gt;2022&lt;/year&gt;&lt;/dates&gt;&lt;urls&gt;&lt;related-urls&gt;&lt;url&gt;https://www.pbs.gov.au/info/publication/factsheets/shared/pbs-listings-for-aboriginal-and-torres-strait-islander-people&lt;/url&gt;&lt;/related-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[47]</w:t>
      </w:r>
      <w:r w:rsidR="007B773F" w:rsidRPr="00F46EF2">
        <w:rPr>
          <w:rFonts w:ascii="Times New Roman" w:eastAsia="ＭＳ Ｐ明朝" w:hAnsi="Times New Roman"/>
          <w:sz w:val="20"/>
          <w:szCs w:val="21"/>
        </w:rPr>
        <w:fldChar w:fldCharType="end"/>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&lt;EndNote&gt;&lt;Cite&gt;&lt;Author&gt;Pharmaceutical Management Agency (New Zealand)&lt;/Author&gt;&lt;Year&gt;2022&lt;/Year&gt;&lt;RecNum&gt;216&lt;/RecNum&gt;&lt;DisplayText&gt;[48]&lt;/DisplayText&gt;&lt;record&gt;&lt;rec-number&gt;216&lt;/rec-number&gt;&lt;foreign-keys&gt;&lt;key app="EN" db-id="z25xddsz659sshedpdu5pda3dswx20f99sf9" timestamp="1692002023"&gt;216&lt;/key&gt;&lt;/foreign-keys&gt;&lt;ref-type name="Web Page"&gt;12&lt;/ref-type&gt;&lt;contributors&gt;&lt;authors&gt;&lt;author&gt;Pharmaceutical Management Agency (New Zealand),&lt;/author&gt;&lt;/authors&gt;&lt;/contributors&gt;&lt;titles&gt;&lt;title&gt;&lt;style face="normal" font="default" size="100%"&gt;Priority | Equity for M&lt;/style&gt;&lt;style face="normal" font="default" charset="238" size="100%"&gt;āori&lt;/style&gt;&lt;/title&gt;&lt;/titles&gt;&lt;volume&gt;2023&lt;/volume&gt;&lt;number&gt;30 June&lt;/number&gt;&lt;dates&gt;&lt;year&gt;2022&lt;/year&gt;&lt;/dates&gt;&lt;urls&gt;&lt;related-urls&gt;&lt;url&gt;https://pharmac.govt.nz/te-tiriti-o-waitangi/te-whaioranga/te-rautaki-te-whaioranga/priority-equity-for-maori/&lt;/url&gt;&lt;/related-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[48]</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roofErr w:type="spellStart"/>
      <w:r w:rsidRPr="00F46EF2">
        <w:rPr>
          <w:rFonts w:ascii="Times New Roman" w:eastAsia="ＭＳ Ｐ明朝" w:hAnsi="Times New Roman"/>
          <w:sz w:val="20"/>
          <w:szCs w:val="21"/>
          <w:lang w:eastAsia="ja-JP"/>
        </w:rPr>
        <w:t>ニュージーランドはまた、</w:t>
      </w:r>
      <w:r w:rsidRPr="00F46EF2">
        <w:rPr>
          <w:rFonts w:ascii="Times New Roman" w:eastAsia="ＭＳ Ｐ明朝" w:hAnsi="Times New Roman"/>
          <w:sz w:val="20"/>
          <w:szCs w:val="21"/>
          <w:lang w:eastAsia="ja-JP"/>
        </w:rPr>
        <w:t>PTAC</w:t>
      </w:r>
      <w:r w:rsidRPr="00F46EF2">
        <w:rPr>
          <w:rFonts w:ascii="Times New Roman" w:eastAsia="ＭＳ Ｐ明朝" w:hAnsi="Times New Roman"/>
          <w:sz w:val="20"/>
          <w:szCs w:val="21"/>
          <w:lang w:eastAsia="ja-JP"/>
        </w:rPr>
        <w:t>と共同で衡平性能力自己評価ツールを試験的に導入した</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&lt;EndNote&gt;&lt;Cite&gt;&lt;Author&gt;Pharmaceutical Management Agency (New Zealand)&lt;/Author&gt;&lt;Year&gt;2022&lt;/Year&gt;&lt;RecNum&gt;216&lt;/RecNum&gt;&lt;DisplayText&gt;[48]&lt;/DisplayText&gt;&lt;record&gt;&lt;rec-number&gt;216&lt;/rec-number&gt;&lt;foreign-keys&gt;&lt;key app="EN" db-id="z25xddsz659sshedpdu5pda3dswx20f99sf9" timestamp="1692002023"&gt;216&lt;/key&gt;&lt;/foreign-keys&gt;&lt;ref-type name="Web Page"&gt;12&lt;/ref-type&gt;&lt;contributors&gt;&lt;authors&gt;&lt;author&gt;Pharmaceutical Management Agency (New Zealand),&lt;/author&gt;&lt;/authors&gt;&lt;/contributors&gt;&lt;titles&gt;&lt;title&gt;&lt;style face="normal" font="default" size="100%"&gt;Priority | Equity for M&lt;/style&gt;&lt;style face="normal" font="default" charset="238" size="100%"&gt;āori&lt;/style&gt;&lt;/title&gt;&lt;/titles&gt;&lt;volume&gt;2023&lt;/volume&gt;&lt;number&gt;30 June&lt;/number&gt;&lt;dates&gt;&lt;year&gt;2022&lt;/year&gt;&lt;/dates&gt;&lt;urls&gt;&lt;related-urls&gt;&lt;url&gt;https://pharmac.govt.nz/te-tiriti-o-waitangi/te-whaioranga/te-rautaki-te-whaioranga/priority-equity-for-maori/&lt;/url&gt;&lt;/related-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[48]</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
    <w:p w14:paraId="6DFB0954" w14:textId="77777777" w:rsidR="00FF745D" w:rsidRDefault="00000000">
      <w:pPr>
        <w:pStyle w:val="a3"/>
        <w:rPr>
          <w:rFonts w:ascii="Times New Roman" w:eastAsia="ＭＳ Ｐ明朝" w:hAnsi="Times New Roman"/>
          <w:sz w:val="20"/>
          <w:szCs w:val="21"/>
        </w:rPr>
      </w:pPr>
      <w:proofErr w:type="spellStart"/>
      <w:r w:rsidRPr="00F46EF2">
        <w:rPr>
          <w:rFonts w:ascii="Times New Roman" w:eastAsia="ＭＳ Ｐ明朝" w:hAnsi="Times New Roman"/>
          <w:sz w:val="20"/>
          <w:szCs w:val="21"/>
          <w:lang w:eastAsia="ja-JP"/>
        </w:rPr>
        <w:t>医療技術の衡平性への影響を定量化する方法、すなわち分配的費用対効果分析（</w:t>
      </w:r>
      <w:r w:rsidRPr="00F46EF2">
        <w:rPr>
          <w:rFonts w:ascii="Times New Roman" w:eastAsia="ＭＳ Ｐ明朝" w:hAnsi="Times New Roman"/>
          <w:sz w:val="20"/>
          <w:szCs w:val="21"/>
          <w:lang w:eastAsia="ja-JP"/>
        </w:rPr>
        <w:t>DCEA</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&lt;EndNote&gt;&lt;Cite&gt;&lt;Author&gt;Cookson&lt;/Author&gt;&lt;Year&gt;2020&lt;/Year&gt;&lt;RecNum&gt;148&lt;/RecNum&gt;&lt;DisplayText&gt;[49]&lt;/DisplayText&gt;&lt;record&gt;&lt;rec-number&gt;148&lt;/rec-number&gt;&lt;foreign-keys&gt;&lt;key app="EN" db-id="z25xddsz659sshedpdu5pda3dswx20f99sf9" timestamp="1692002023"&gt;148&lt;/key&gt;&lt;/foreign-keys&gt;&lt;ref-type name="Book"&gt;6&lt;/ref-type&gt;&lt;contributors&gt;&lt;authors&gt;&lt;author&gt;Cookson, Richard&lt;/author&gt;&lt;author&gt;Griffin, Susan&lt;/author&gt;&lt;author&gt;Norheim, Ole F&lt;/author&gt;&lt;author&gt;Culyer, Anthony J&lt;/author&gt;&lt;/authors&gt;&lt;/contributors&gt;&lt;titles&gt;&lt;title&gt;Distributional cost-effectiveness analysis: quantifying health equity impacts and trade-offs&lt;/title&gt;&lt;/titles&gt;&lt;dates&gt;&lt;year&gt;2020&lt;/year&gt;&lt;/dates&gt;&lt;publisher&gt;Oxford University Press&lt;/publisher&gt;&lt;isbn&gt;0192575295&lt;/isbn&gt;&lt;urls&gt;&lt;/urls&gt;&lt;/record&gt;&lt;/Cite&gt;&lt;/EndNote&gt;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[49]</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は、文献的には検討されているが、実際にはまだ実施されていない。</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プロセスに</w:t>
      </w:r>
      <w:r w:rsidRPr="00F46EF2">
        <w:rPr>
          <w:rFonts w:ascii="Times New Roman" w:eastAsia="ＭＳ Ｐ明朝" w:hAnsi="Times New Roman"/>
          <w:sz w:val="20"/>
          <w:szCs w:val="21"/>
          <w:lang w:eastAsia="ja-JP"/>
        </w:rPr>
        <w:t>DCEA</w:t>
      </w:r>
      <w:r w:rsidRPr="00F46EF2">
        <w:rPr>
          <w:rFonts w:ascii="Times New Roman" w:eastAsia="ＭＳ Ｐ明朝" w:hAnsi="Times New Roman"/>
          <w:sz w:val="20"/>
          <w:szCs w:val="21"/>
          <w:lang w:eastAsia="ja-JP"/>
        </w:rPr>
        <w:t>を組み込むことの実現可能性は、現在、</w:t>
      </w:r>
      <w:r w:rsidR="00931A1D"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&lt;EndNote&gt;&lt;Cite&gt;&lt;Author&gt;National Institute for Health and Care Excellence&lt;/Author&gt;&lt;Year&gt;August 2020&lt;/Year&gt;&lt;RecNum&gt;199&lt;/RecNum&gt;&lt;DisplayText&gt;[50]&lt;/DisplayText&gt;&lt;record&gt;&lt;rec-number&gt;199&lt;/rec-number&gt;&lt;foreign-keys&gt;&lt;key app="EN" db-id="z25xddsz659sshedpdu5pda3dswx20f99sf9" timestamp="1692002023"&gt;199&lt;/key&gt;&lt;/foreign-keys&gt;&lt;ref-type name="Web Page"&gt;12&lt;/ref-type&gt;&lt;contributors&gt;&lt;authors&gt;&lt;author&gt;National Institute for Health and Care Excellence,&lt;/author&gt;&lt;/authors&gt;&lt;/contributors&gt;&lt;titles&gt;&lt;title&gt;CHTE Methods Review, Equalities, Task and Finish Group Report&lt;/title&gt;&lt;/titles&gt;&lt;volume&gt;2023&lt;/volume&gt;&lt;number&gt;6 July&lt;/number&gt;&lt;dates&gt;&lt;year&gt;August 2020&lt;/year&gt;&lt;/dates&gt;&lt;urls&gt;&lt;related-urls&gt;&lt;url&gt;https://www.nice.org.uk/Media/Default/About/what-we-do/our-programmes/nice-guidance/chte-methods-consultation/Equalities-task-and-finish-group-report.docx&lt;/url&gt;&lt;/related-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[50]</w:t>
      </w:r>
      <w:r w:rsidR="007B773F" w:rsidRPr="00F46EF2">
        <w:rPr>
          <w:rFonts w:ascii="Times New Roman" w:eastAsia="ＭＳ Ｐ明朝" w:hAnsi="Times New Roman"/>
          <w:sz w:val="20"/>
          <w:szCs w:val="21"/>
        </w:rPr>
        <w:fldChar w:fldCharType="end"/>
      </w:r>
      <w:proofErr w:type="spellStart"/>
      <w:r w:rsidRPr="00F46EF2">
        <w:rPr>
          <w:rFonts w:ascii="Times New Roman" w:eastAsia="ＭＳ Ｐ明朝" w:hAnsi="Times New Roman"/>
          <w:sz w:val="20"/>
          <w:szCs w:val="21"/>
          <w:lang w:eastAsia="ja-JP"/>
        </w:rPr>
        <w:t>しかし、衡平性への懸念の定義やデータの収集・報告方法に一貫性がないことに起因する課題が指摘されている</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&lt;EndNote&gt;&lt;Cite&gt;&lt;Author&gt;Meunier&lt;/Author&gt;&lt;Year&gt;2023&lt;/Year&gt;&lt;RecNum&gt;190&lt;/RecNum&gt;&lt;DisplayText&gt;[51]&lt;/DisplayText&gt;&lt;record&gt;&lt;rec-number&gt;190&lt;/rec-number&gt;&lt;foreign-keys&gt;&lt;key app="EN" db-id="z25xddsz659sshedpdu5pda3dswx20f99sf9" timestamp="1692002023"&gt;190&lt;/key&gt;&lt;/foreign-keys&gt;&lt;ref-type name="Journal Article"&gt;17&lt;/ref-type&gt;&lt;contributors&gt;&lt;authors&gt;&lt;author&gt;Meunier, A.&lt;/author&gt;&lt;author&gt;Longworth, L.&lt;/author&gt;&lt;author&gt;Kowal, S.&lt;/author&gt;&lt;author&gt;Ramagopalan, S.&lt;/author&gt;&lt;author&gt;Love-Koh, J.&lt;/author&gt;&lt;author&gt;Griffin, S.&lt;/author&gt;&lt;/authors&gt;&lt;/contributors&gt;&lt;auth-address&gt;PHMR Limited, London, England, UK. Electronic address: aureliemeunier@phmr.com.&amp;#xD;PHMR Limited, London, England, UK.&amp;#xD;Evidence for Access, Genentech, Inc, South San Francisco, CA, USA.&amp;#xD;Global Access, F. Hoffmann-La Roche Ltd, Grenzacherstrasse, Basel, Switzerland.&amp;#xD;National Institute for Health and Care Excellence, Manchester, England, UK.&amp;#xD;Centre for Health Economics, University of York, York, England, UK.&lt;/auth-address&gt;&lt;titles&gt;&lt;title&gt;Distributional Cost-Effectiveness Analysis of Health Technologies: Data Requirements and Challenges&lt;/title&gt;&lt;secondary-title&gt;Value Health&lt;/secondary-title&gt;</w:instrText>
      </w:r>
      <w:r w:rsidR="005E33D6" w:rsidRPr="00F46EF2">
        <w:rPr>
          <w:rFonts w:ascii="Times New Roman" w:eastAsia="ＭＳ Ｐ明朝" w:hAnsi="Times New Roman"/>
          <w:sz w:val="20"/>
          <w:szCs w:val="21"/>
        </w:rPr>
        <w:instrText>&lt;/titles&gt;&lt;periodical&gt;&lt;full-title&gt;Value Health&lt;/full-title&gt;&lt;/periodical&gt;&lt;pages&gt;60-63&lt;/pages&gt;&lt;volume&gt;26&lt;/volume&gt;&lt;number&gt;1&lt;/number&gt;&lt;edition&gt;2022/08/09&lt;/edition&gt;&lt;keywords&gt;&lt;keyword&gt;Humans&lt;/keyword&gt;&lt;keyword&gt;*Cost-Effectiveness Analysis&lt;/keyword&gt;&lt;keyword&gt;Cost-Benefit Analysis&lt;/keyword&gt;&lt;keyword&gt;*Technology Assessment, Biomedical&lt;/keyword&gt;&lt;keyword&gt;distributional cost-effectiveness analysis&lt;/keyword&gt;&lt;keyword&gt;equity&lt;/keyword&gt;&lt;keyword&gt;health inequities&lt;/keyword&gt;&lt;/keywords&gt;&lt;dates&gt;&lt;year&gt;2023&lt;/year&gt;&lt;pub-dates&gt;&lt;date&gt;Jan&lt;/date&gt;&lt;/pub-dates&gt;&lt;/dates&gt;&lt;isbn&gt;1524-4733 (Electronic)&amp;#xD;1098-3015 (Linking)&lt;/isbn&gt;&lt;accession-num&gt;35941004&lt;/accession-num&gt;&lt;urls&gt;&lt;related-urls&gt;&lt;url&gt;https://www.ncbi.nlm.nih.gov/pubmed/35941004&lt;/url&gt;&lt;/related-urls&gt;&lt;/urls&gt;&lt;electronic-resource-num&gt;10.1016/j.jval.2022.06.011&lt;/electronic-resource-num&gt;&lt;research-notes&gt;Q1.2.3; Equity&lt;/research-notes&gt;&lt;/record&gt;&lt;/Cite&gt;&lt;/EndNote&gt;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rPr>
        <w:t>[51]</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t>.</w:t>
      </w:r>
    </w:p>
    <w:p w14:paraId="1BD0D19A" w14:textId="77777777" w:rsidR="00156C9E" w:rsidRPr="00F46EF2" w:rsidRDefault="00156C9E">
      <w:pPr>
        <w:pStyle w:val="a3"/>
        <w:rPr>
          <w:rFonts w:ascii="Times New Roman" w:eastAsia="ＭＳ Ｐ明朝" w:hAnsi="Times New Roman"/>
          <w:sz w:val="20"/>
          <w:szCs w:val="21"/>
        </w:rPr>
      </w:pPr>
    </w:p>
    <w:p w14:paraId="52A1CF21" w14:textId="77777777" w:rsidR="00FF745D" w:rsidRPr="00F46EF2" w:rsidRDefault="00000000">
      <w:pPr>
        <w:pStyle w:val="NbrHeading3"/>
        <w:rPr>
          <w:rFonts w:ascii="Times New Roman" w:eastAsia="ＭＳ Ｐ明朝" w:hAnsi="Times New Roman"/>
          <w:sz w:val="20"/>
          <w:szCs w:val="21"/>
        </w:rPr>
      </w:pPr>
      <w:bookmarkStart w:id="30" w:name="_Toc161997089"/>
      <w:r w:rsidRPr="00F46EF2">
        <w:rPr>
          <w:rFonts w:ascii="Times New Roman" w:eastAsia="ＭＳ Ｐ明朝" w:hAnsi="Times New Roman"/>
          <w:sz w:val="20"/>
          <w:szCs w:val="21"/>
        </w:rPr>
        <w:t>共依存</w:t>
      </w:r>
      <w:r w:rsidR="002E3F37" w:rsidRPr="00F46EF2">
        <w:rPr>
          <w:rFonts w:ascii="Times New Roman" w:eastAsia="ＭＳ Ｐ明朝" w:hAnsi="Times New Roman"/>
          <w:sz w:val="20"/>
          <w:szCs w:val="21"/>
        </w:rPr>
        <w:t>技術</w:t>
      </w:r>
      <w:bookmarkEnd w:id="30"/>
    </w:p>
    <w:p w14:paraId="24940952"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技術が共依存的であるのは、それらの技術を（順次または同時に）併用することで、</w:t>
      </w:r>
      <w:r w:rsidR="00DD2686" w:rsidRPr="00F46EF2">
        <w:rPr>
          <w:rFonts w:ascii="Times New Roman" w:eastAsia="ＭＳ Ｐ明朝" w:hAnsi="Times New Roman"/>
          <w:sz w:val="20"/>
          <w:szCs w:val="21"/>
          <w:lang w:eastAsia="ja-JP"/>
        </w:rPr>
        <w:t>それぞれの</w:t>
      </w:r>
      <w:r w:rsidRPr="00F46EF2">
        <w:rPr>
          <w:rFonts w:ascii="Times New Roman" w:eastAsia="ＭＳ Ｐ明朝" w:hAnsi="Times New Roman"/>
          <w:sz w:val="20"/>
          <w:szCs w:val="21"/>
          <w:lang w:eastAsia="ja-JP"/>
        </w:rPr>
        <w:t>技術が意図する臨床効果が達成される、あるいは増強される場合である。</w:t>
      </w:r>
      <w:r w:rsidR="00466786" w:rsidRPr="00F46EF2">
        <w:rPr>
          <w:rFonts w:ascii="Times New Roman" w:eastAsia="ＭＳ Ｐ明朝" w:hAnsi="Times New Roman"/>
          <w:sz w:val="20"/>
          <w:szCs w:val="21"/>
          <w:lang w:eastAsia="ja-JP"/>
        </w:rPr>
        <w:t>Methods</w:t>
      </w:r>
      <w:r w:rsidRPr="00F46EF2">
        <w:rPr>
          <w:rFonts w:ascii="Times New Roman" w:eastAsia="ＭＳ Ｐ明朝" w:hAnsi="Times New Roman"/>
          <w:sz w:val="20"/>
          <w:szCs w:val="21"/>
          <w:lang w:eastAsia="ja-JP"/>
        </w:rPr>
        <w:t>レビューでは、共依存技術に関して採用されている方法は、単独技術の評価に用いられている方法と大きな</w:t>
      </w:r>
      <w:r w:rsidR="00B135D4" w:rsidRPr="00F46EF2">
        <w:rPr>
          <w:rFonts w:ascii="Times New Roman" w:eastAsia="ＭＳ Ｐ明朝" w:hAnsi="Times New Roman"/>
          <w:sz w:val="20"/>
          <w:szCs w:val="21"/>
          <w:lang w:eastAsia="ja-JP"/>
        </w:rPr>
        <w:t>違いは</w:t>
      </w:r>
      <w:r w:rsidRPr="00F46EF2">
        <w:rPr>
          <w:rFonts w:ascii="Times New Roman" w:eastAsia="ＭＳ Ｐ明朝" w:hAnsi="Times New Roman"/>
          <w:sz w:val="20"/>
          <w:szCs w:val="21"/>
          <w:lang w:eastAsia="ja-JP"/>
        </w:rPr>
        <w:t>ないことがわかった。有効性、費用対効果、安全性といった重要な検討事項は、</w:t>
      </w:r>
      <w:r w:rsidR="00F44FC8" w:rsidRPr="00F46EF2">
        <w:rPr>
          <w:rFonts w:ascii="Times New Roman" w:eastAsia="ＭＳ Ｐ明朝" w:hAnsi="Times New Roman"/>
          <w:sz w:val="20"/>
          <w:szCs w:val="21"/>
          <w:lang w:eastAsia="ja-JP"/>
        </w:rPr>
        <w:t>共依存技術の評価において</w:t>
      </w:r>
      <w:r w:rsidRPr="00F46EF2">
        <w:rPr>
          <w:rFonts w:ascii="Times New Roman" w:eastAsia="ＭＳ Ｐ明朝" w:hAnsi="Times New Roman"/>
          <w:sz w:val="20"/>
          <w:szCs w:val="21"/>
          <w:lang w:eastAsia="ja-JP"/>
        </w:rPr>
        <w:t>依然として重要である。しかし、共依存性技術の評価プロセスやエビデンス要件には、</w:t>
      </w:r>
      <w:r w:rsidR="00F44FC8" w:rsidRPr="00F46EF2">
        <w:rPr>
          <w:rFonts w:ascii="Times New Roman" w:eastAsia="ＭＳ Ｐ明朝" w:hAnsi="Times New Roman"/>
          <w:sz w:val="20"/>
          <w:szCs w:val="21"/>
          <w:lang w:eastAsia="ja-JP"/>
        </w:rPr>
        <w:t>単一技術とは</w:t>
      </w:r>
      <w:r w:rsidRPr="00F46EF2">
        <w:rPr>
          <w:rFonts w:ascii="Times New Roman" w:eastAsia="ＭＳ Ｐ明朝" w:hAnsi="Times New Roman"/>
          <w:sz w:val="20"/>
          <w:szCs w:val="21"/>
          <w:lang w:eastAsia="ja-JP"/>
        </w:rPr>
        <w:t>異なる点がある。</w:t>
      </w:r>
    </w:p>
    <w:p w14:paraId="5E364A95"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8</w:t>
      </w:r>
      <w:r w:rsidRPr="00F46EF2">
        <w:rPr>
          <w:rFonts w:ascii="Times New Roman" w:eastAsia="ＭＳ Ｐ明朝" w:hAnsi="Times New Roman"/>
          <w:sz w:val="20"/>
          <w:szCs w:val="21"/>
          <w:lang w:eastAsia="ja-JP"/>
        </w:rPr>
        <w:t>つの</w:t>
      </w:r>
      <w:r w:rsidR="0064555B" w:rsidRPr="00F46EF2">
        <w:rPr>
          <w:rFonts w:ascii="Times New Roman" w:eastAsia="ＭＳ Ｐ明朝" w:hAnsi="Times New Roman"/>
          <w:sz w:val="20"/>
          <w:szCs w:val="21"/>
          <w:lang w:eastAsia="ja-JP"/>
        </w:rPr>
        <w:t>国の</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ガイドラインに、共同依存技術の受け入れプロセスとエビデンスに関する情報が明記されている</w:t>
      </w:r>
      <w:r w:rsidR="0032415F"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オーストラリア（</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）、イングランド・ウェールズ（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val="en-US" w:eastAsia="ja-JP"/>
        </w:rPr>
        <w:t>（</w:t>
      </w:r>
      <w:r w:rsidRPr="00F46EF2">
        <w:rPr>
          <w:rFonts w:ascii="Times New Roman" w:eastAsia="ＭＳ Ｐ明朝" w:hAnsi="Times New Roman"/>
          <w:sz w:val="20"/>
          <w:szCs w:val="21"/>
          <w:lang w:val="en-US" w:eastAsia="ja-JP"/>
        </w:rPr>
        <w:t>SMC</w:t>
      </w:r>
      <w:r w:rsidRPr="00F46EF2">
        <w:rPr>
          <w:rFonts w:ascii="Times New Roman" w:eastAsia="ＭＳ Ｐ明朝" w:hAnsi="Times New Roman"/>
          <w:sz w:val="20"/>
          <w:szCs w:val="21"/>
          <w:lang w:val="en-US" w:eastAsia="ja-JP"/>
        </w:rPr>
        <w:t>）</w:t>
      </w:r>
      <w:r w:rsidRPr="00F46EF2">
        <w:rPr>
          <w:rFonts w:ascii="Times New Roman" w:eastAsia="ＭＳ Ｐ明朝" w:hAnsi="Times New Roman"/>
          <w:sz w:val="20"/>
          <w:szCs w:val="21"/>
          <w:lang w:eastAsia="ja-JP"/>
        </w:rPr>
        <w:t>、カナダ（</w:t>
      </w:r>
      <w:r w:rsidRPr="00F46EF2">
        <w:rPr>
          <w:rFonts w:ascii="Times New Roman" w:eastAsia="ＭＳ Ｐ明朝" w:hAnsi="Times New Roman"/>
          <w:sz w:val="20"/>
          <w:szCs w:val="21"/>
          <w:lang w:eastAsia="ja-JP"/>
        </w:rPr>
        <w:t>CADTH</w:t>
      </w:r>
      <w:r w:rsidRPr="00F46EF2">
        <w:rPr>
          <w:rFonts w:ascii="Times New Roman" w:eastAsia="ＭＳ Ｐ明朝" w:hAnsi="Times New Roman"/>
          <w:sz w:val="20"/>
          <w:szCs w:val="21"/>
          <w:lang w:eastAsia="ja-JP"/>
        </w:rPr>
        <w:t>）、フランス（</w:t>
      </w:r>
      <w:r w:rsidRPr="00F46EF2">
        <w:rPr>
          <w:rFonts w:ascii="Times New Roman" w:eastAsia="ＭＳ Ｐ明朝" w:hAnsi="Times New Roman"/>
          <w:sz w:val="20"/>
          <w:szCs w:val="21"/>
          <w:lang w:eastAsia="ja-JP"/>
        </w:rPr>
        <w:t>HAS</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）、ベルギー（</w:t>
      </w:r>
      <w:r w:rsidRPr="00F46EF2">
        <w:rPr>
          <w:rFonts w:ascii="Times New Roman" w:eastAsia="ＭＳ Ｐ明朝" w:hAnsi="Times New Roman"/>
          <w:sz w:val="20"/>
          <w:szCs w:val="21"/>
          <w:lang w:eastAsia="ja-JP"/>
        </w:rPr>
        <w:t>RIZIV-INAMI</w:t>
      </w:r>
      <w:r w:rsidRPr="00F46EF2">
        <w:rPr>
          <w:rFonts w:ascii="Times New Roman" w:eastAsia="ＭＳ Ｐ明朝" w:hAnsi="Times New Roman"/>
          <w:sz w:val="20"/>
          <w:szCs w:val="21"/>
          <w:lang w:eastAsia="ja-JP"/>
        </w:rPr>
        <w:t>）、シンガポール（</w:t>
      </w:r>
      <w:r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6</w:t>
      </w:r>
      <w:r w:rsidRPr="00F46EF2">
        <w:rPr>
          <w:rFonts w:ascii="Times New Roman" w:eastAsia="ＭＳ Ｐ明朝" w:hAnsi="Times New Roman"/>
          <w:sz w:val="20"/>
          <w:szCs w:val="21"/>
          <w:lang w:eastAsia="ja-JP"/>
        </w:rPr>
        <w:t>つの</w:t>
      </w:r>
      <w:r w:rsidR="0064555B" w:rsidRPr="00F46EF2">
        <w:rPr>
          <w:rFonts w:ascii="Times New Roman" w:eastAsia="ＭＳ Ｐ明朝" w:hAnsi="Times New Roman"/>
          <w:sz w:val="20"/>
          <w:szCs w:val="21"/>
          <w:lang w:eastAsia="ja-JP"/>
        </w:rPr>
        <w:t>管轄区域では、</w:t>
      </w:r>
      <w:r w:rsidRPr="00F46EF2">
        <w:rPr>
          <w:rFonts w:ascii="Times New Roman" w:eastAsia="ＭＳ Ｐ明朝" w:hAnsi="Times New Roman"/>
          <w:sz w:val="20"/>
          <w:szCs w:val="21"/>
          <w:lang w:eastAsia="ja-JP"/>
        </w:rPr>
        <w:t>共同依存技術の評価のための共同プロセスが実施されている（オーストラリア、</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、イングランドとウェールズ、</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、カナダ、フランス、</w:t>
      </w:r>
      <w:r w:rsidRPr="00F46EF2">
        <w:rPr>
          <w:rFonts w:ascii="Times New Roman" w:eastAsia="ＭＳ Ｐ明朝" w:hAnsi="Times New Roman"/>
          <w:sz w:val="20"/>
          <w:szCs w:val="21"/>
          <w:lang w:eastAsia="ja-JP"/>
        </w:rPr>
        <w:t>HAS</w:t>
      </w:r>
      <w:r w:rsidRPr="00F46EF2">
        <w:rPr>
          <w:rFonts w:ascii="Times New Roman" w:eastAsia="ＭＳ Ｐ明朝" w:hAnsi="Times New Roman"/>
          <w:sz w:val="20"/>
          <w:szCs w:val="21"/>
          <w:lang w:eastAsia="ja-JP"/>
        </w:rPr>
        <w:t>、ベルギー、</w:t>
      </w:r>
      <w:r w:rsidRPr="00F46EF2">
        <w:rPr>
          <w:rFonts w:ascii="Times New Roman" w:eastAsia="ＭＳ Ｐ明朝" w:hAnsi="Times New Roman"/>
          <w:sz w:val="20"/>
          <w:szCs w:val="21"/>
          <w:lang w:eastAsia="ja-JP"/>
        </w:rPr>
        <w:t>RIZIV-INAMI</w:t>
      </w:r>
      <w:r w:rsidRPr="00F46EF2">
        <w:rPr>
          <w:rFonts w:ascii="Times New Roman" w:eastAsia="ＭＳ Ｐ明朝" w:hAnsi="Times New Roman"/>
          <w:sz w:val="20"/>
          <w:szCs w:val="21"/>
          <w:lang w:eastAsia="ja-JP"/>
        </w:rPr>
        <w:t>、シンガポール、</w:t>
      </w:r>
      <w:r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）。スウェーデン</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のガイドラインは、精密医薬品と先進治療薬</w:t>
      </w:r>
      <w:r w:rsidRPr="00F46EF2">
        <w:rPr>
          <w:rFonts w:ascii="Times New Roman" w:eastAsia="ＭＳ Ｐ明朝" w:hAnsi="Times New Roman"/>
          <w:sz w:val="20"/>
          <w:szCs w:val="21"/>
          <w:lang w:eastAsia="ja-JP"/>
        </w:rPr>
        <w:t>(ATMP)</w:t>
      </w:r>
      <w:r w:rsidRPr="00F46EF2">
        <w:rPr>
          <w:rFonts w:ascii="Times New Roman" w:eastAsia="ＭＳ Ｐ明朝" w:hAnsi="Times New Roman"/>
          <w:sz w:val="20"/>
          <w:szCs w:val="21"/>
          <w:lang w:eastAsia="ja-JP"/>
        </w:rPr>
        <w:t>に関するコンパニオン診断薬</w:t>
      </w:r>
      <w:r w:rsidRPr="00F46EF2">
        <w:rPr>
          <w:rFonts w:ascii="Times New Roman" w:eastAsia="ＭＳ Ｐ明朝" w:hAnsi="Times New Roman"/>
          <w:sz w:val="20"/>
          <w:szCs w:val="21"/>
          <w:lang w:eastAsia="ja-JP"/>
        </w:rPr>
        <w:lastRenderedPageBreak/>
        <w:t>の使用について言及しているが、スウェーデンで実施された</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のプロセスは不明である。</w:t>
      </w:r>
      <w:r w:rsidRPr="00F46EF2">
        <w:rPr>
          <w:rFonts w:ascii="Times New Roman" w:eastAsia="ＭＳ Ｐ明朝" w:hAnsi="Times New Roman"/>
          <w:sz w:val="20"/>
          <w:szCs w:val="21"/>
        </w:rPr>
        <w:t>スコットランドの</w:t>
      </w:r>
      <w:r w:rsidRPr="00F46EF2">
        <w:rPr>
          <w:rFonts w:ascii="Times New Roman" w:eastAsia="ＭＳ Ｐ明朝" w:hAnsi="Times New Roman"/>
          <w:sz w:val="20"/>
          <w:szCs w:val="21"/>
        </w:rPr>
        <w:t>SMC</w:t>
      </w:r>
      <w:r w:rsidRPr="00F46EF2">
        <w:rPr>
          <w:rFonts w:ascii="Times New Roman" w:eastAsia="ＭＳ Ｐ明朝" w:hAnsi="Times New Roman"/>
          <w:sz w:val="20"/>
          <w:szCs w:val="21"/>
        </w:rPr>
        <w:t>は、診断薬のレビューのプロセスは、</w:t>
      </w:r>
      <w:r w:rsidRPr="00F46EF2">
        <w:rPr>
          <w:rFonts w:ascii="Times New Roman" w:eastAsia="ＭＳ Ｐ明朝" w:hAnsi="Times New Roman"/>
          <w:sz w:val="20"/>
          <w:szCs w:val="21"/>
        </w:rPr>
        <w:t>SMC</w:t>
      </w:r>
      <w:r w:rsidRPr="00F46EF2">
        <w:rPr>
          <w:rFonts w:ascii="Times New Roman" w:eastAsia="ＭＳ Ｐ明朝" w:hAnsi="Times New Roman"/>
          <w:sz w:val="20"/>
          <w:szCs w:val="21"/>
        </w:rPr>
        <w:t>に経済的ケースの診断試験の側面について助言を行う</w:t>
      </w:r>
      <w:r w:rsidRPr="00F46EF2">
        <w:rPr>
          <w:rFonts w:ascii="Times New Roman" w:eastAsia="ＭＳ Ｐ明朝" w:hAnsi="Times New Roman"/>
          <w:sz w:val="20"/>
          <w:szCs w:val="21"/>
        </w:rPr>
        <w:t xml:space="preserve">Scottish Genomic Test Advisory </w:t>
      </w:r>
      <w:proofErr w:type="spellStart"/>
      <w:r w:rsidRPr="00F46EF2">
        <w:rPr>
          <w:rFonts w:ascii="Times New Roman" w:eastAsia="ＭＳ Ｐ明朝" w:hAnsi="Times New Roman"/>
          <w:sz w:val="20"/>
          <w:szCs w:val="21"/>
        </w:rPr>
        <w:t>Group</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SG-TAG</w:t>
      </w:r>
      <w:r w:rsidRPr="00F46EF2">
        <w:rPr>
          <w:rFonts w:ascii="Times New Roman" w:eastAsia="ＭＳ Ｐ明朝" w:hAnsi="Times New Roman"/>
          <w:sz w:val="20"/>
          <w:szCs w:val="21"/>
        </w:rPr>
        <w:t>）または</w:t>
      </w:r>
      <w:r w:rsidRPr="00F46EF2">
        <w:rPr>
          <w:rFonts w:ascii="Times New Roman" w:eastAsia="ＭＳ Ｐ明朝" w:hAnsi="Times New Roman"/>
          <w:sz w:val="20"/>
          <w:szCs w:val="21"/>
        </w:rPr>
        <w:t>Scottish</w:t>
      </w:r>
      <w:proofErr w:type="spellEnd"/>
      <w:r w:rsidRPr="00F46EF2">
        <w:rPr>
          <w:rFonts w:ascii="Times New Roman" w:eastAsia="ＭＳ Ｐ明朝" w:hAnsi="Times New Roman"/>
          <w:sz w:val="20"/>
          <w:szCs w:val="21"/>
        </w:rPr>
        <w:t xml:space="preserve"> Pathology Network</w:t>
      </w:r>
      <w:r w:rsidRPr="00F46EF2">
        <w:rPr>
          <w:rFonts w:ascii="Times New Roman" w:eastAsia="ＭＳ Ｐ明朝" w:hAnsi="Times New Roman"/>
          <w:sz w:val="20"/>
          <w:szCs w:val="21"/>
        </w:rPr>
        <w:t>（</w:t>
      </w:r>
      <w:r w:rsidRPr="00F46EF2">
        <w:rPr>
          <w:rFonts w:ascii="Times New Roman" w:eastAsia="ＭＳ Ｐ明朝" w:hAnsi="Times New Roman"/>
          <w:sz w:val="20"/>
          <w:szCs w:val="21"/>
        </w:rPr>
        <w:t>SPaN</w:t>
      </w:r>
      <w:r w:rsidRPr="00F46EF2">
        <w:rPr>
          <w:rFonts w:ascii="Times New Roman" w:eastAsia="ＭＳ Ｐ明朝" w:hAnsi="Times New Roman"/>
          <w:sz w:val="20"/>
          <w:szCs w:val="21"/>
        </w:rPr>
        <w:t>）に適宜委ねられていると述べている。</w:t>
      </w:r>
      <w:r w:rsidRPr="00F46EF2">
        <w:rPr>
          <w:rFonts w:ascii="Times New Roman" w:eastAsia="ＭＳ Ｐ明朝" w:hAnsi="Times New Roman"/>
          <w:sz w:val="20"/>
          <w:szCs w:val="21"/>
          <w:lang w:eastAsia="ja-JP"/>
        </w:rPr>
        <w:t>ベルギー（</w:t>
      </w:r>
      <w:r w:rsidRPr="00F46EF2">
        <w:rPr>
          <w:rFonts w:ascii="Times New Roman" w:eastAsia="ＭＳ Ｐ明朝" w:hAnsi="Times New Roman"/>
          <w:sz w:val="20"/>
          <w:szCs w:val="21"/>
          <w:lang w:eastAsia="ja-JP"/>
        </w:rPr>
        <w:t>RIZIV-INAMI</w:t>
      </w:r>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2019</w:t>
      </w:r>
      <w:r w:rsidRPr="00F46EF2">
        <w:rPr>
          <w:rFonts w:ascii="Times New Roman" w:eastAsia="ＭＳ Ｐ明朝" w:hAnsi="Times New Roman"/>
          <w:sz w:val="20"/>
          <w:szCs w:val="21"/>
          <w:lang w:eastAsia="ja-JP"/>
        </w:rPr>
        <w:t>年に共同プロセスを実施したが、そこでは</w:t>
      </w:r>
      <w:r w:rsidR="00E97C55" w:rsidRPr="00F46EF2">
        <w:rPr>
          <w:rFonts w:ascii="Times New Roman" w:eastAsia="ＭＳ Ｐ明朝" w:hAnsi="Times New Roman"/>
          <w:sz w:val="20"/>
          <w:szCs w:val="21"/>
          <w:lang w:eastAsia="ja-JP"/>
        </w:rPr>
        <w:t>非同期的な</w:t>
      </w:r>
      <w:r w:rsidRPr="00F46EF2">
        <w:rPr>
          <w:rFonts w:ascii="Times New Roman" w:eastAsia="ＭＳ Ｐ明朝" w:hAnsi="Times New Roman"/>
          <w:sz w:val="20"/>
          <w:szCs w:val="21"/>
          <w:lang w:eastAsia="ja-JP"/>
        </w:rPr>
        <w:t>意思決定プロセスがこれらの技術へのアクセスを妨げていると考えられた</w:t>
      </w:r>
      <w:r w:rsidR="00383FAD" w:rsidRPr="00F46EF2">
        <w:rPr>
          <w:rFonts w:ascii="Times New Roman" w:eastAsia="ＭＳ Ｐ明朝" w:hAnsi="Times New Roman"/>
          <w:sz w:val="20"/>
          <w:szCs w:val="21"/>
          <w:lang w:eastAsia="ja-JP"/>
        </w:rPr>
        <w:t>。</w:t>
      </w:r>
      <w:r w:rsidR="00383FAD" w:rsidRPr="00F46EF2">
        <w:rPr>
          <w:rFonts w:ascii="Times New Roman" w:eastAsia="ＭＳ Ｐ明朝" w:hAnsi="Times New Roman"/>
          <w:sz w:val="20"/>
          <w:szCs w:val="21"/>
          <w:lang w:eastAsia="ja-JP"/>
        </w:rPr>
        <w:t xml:space="preserve"> </w:t>
      </w:r>
    </w:p>
    <w:p w14:paraId="63D80E05" w14:textId="77777777" w:rsidR="00FF745D" w:rsidRDefault="00000000">
      <w:pPr>
        <w:pStyle w:val="a3"/>
        <w:rPr>
          <w:rFonts w:ascii="Times New Roman" w:eastAsia="ＭＳ Ｐ明朝" w:hAnsi="Times New Roman"/>
          <w:sz w:val="20"/>
          <w:szCs w:val="21"/>
        </w:rPr>
      </w:pPr>
      <w:r w:rsidRPr="00F46EF2">
        <w:rPr>
          <w:rFonts w:ascii="Times New Roman" w:eastAsia="ＭＳ Ｐ明朝" w:hAnsi="Times New Roman"/>
          <w:sz w:val="20"/>
          <w:szCs w:val="21"/>
          <w:lang w:eastAsia="ja-JP"/>
        </w:rPr>
        <w:t>オーストラリアでは</w:t>
      </w:r>
      <w:r w:rsidR="00F44FC8" w:rsidRPr="00F46EF2">
        <w:rPr>
          <w:rFonts w:ascii="Times New Roman" w:eastAsia="ＭＳ Ｐ明朝" w:hAnsi="Times New Roman"/>
          <w:sz w:val="20"/>
          <w:szCs w:val="21"/>
          <w:lang w:eastAsia="ja-JP"/>
        </w:rPr>
        <w:t>、</w:t>
      </w:r>
      <w:r w:rsidR="002D0980" w:rsidRPr="00F46EF2">
        <w:rPr>
          <w:rFonts w:ascii="Times New Roman" w:eastAsia="ＭＳ Ｐ明朝" w:hAnsi="Times New Roman"/>
          <w:sz w:val="20"/>
          <w:szCs w:val="21"/>
          <w:lang w:eastAsia="ja-JP"/>
        </w:rPr>
        <w:t>統合（</w:t>
      </w:r>
      <w:r w:rsidR="002D0980" w:rsidRPr="00F46EF2">
        <w:rPr>
          <w:rFonts w:ascii="Times New Roman" w:eastAsia="ＭＳ Ｐ明朝" w:hAnsi="Times New Roman"/>
          <w:sz w:val="20"/>
          <w:szCs w:val="21"/>
          <w:lang w:eastAsia="ja-JP"/>
        </w:rPr>
        <w:t>MSAC</w:t>
      </w:r>
      <w:r w:rsidR="002D0980" w:rsidRPr="00F46EF2">
        <w:rPr>
          <w:rFonts w:ascii="Times New Roman" w:eastAsia="ＭＳ Ｐ明朝" w:hAnsi="Times New Roman"/>
          <w:sz w:val="20"/>
          <w:szCs w:val="21"/>
          <w:lang w:eastAsia="ja-JP"/>
        </w:rPr>
        <w:t>と</w:t>
      </w:r>
      <w:r w:rsidR="002D0980" w:rsidRPr="00F46EF2">
        <w:rPr>
          <w:rFonts w:ascii="Times New Roman" w:eastAsia="ＭＳ Ｐ明朝" w:hAnsi="Times New Roman"/>
          <w:sz w:val="20"/>
          <w:szCs w:val="21"/>
          <w:lang w:eastAsia="ja-JP"/>
        </w:rPr>
        <w:t>PBAC</w:t>
      </w:r>
      <w:r w:rsidR="002D0980"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共依存申請が、共依存技術に</w:t>
      </w:r>
      <w:r w:rsidR="002D0980" w:rsidRPr="00F46EF2">
        <w:rPr>
          <w:rFonts w:ascii="Times New Roman" w:eastAsia="ＭＳ Ｐ明朝" w:hAnsi="Times New Roman"/>
          <w:sz w:val="20"/>
          <w:szCs w:val="21"/>
          <w:lang w:eastAsia="ja-JP"/>
        </w:rPr>
        <w:t>現在公的償還されていない</w:t>
      </w:r>
      <w:r w:rsidRPr="00F46EF2">
        <w:rPr>
          <w:rFonts w:ascii="Times New Roman" w:eastAsia="ＭＳ Ｐ明朝" w:hAnsi="Times New Roman"/>
          <w:sz w:val="20"/>
          <w:szCs w:val="21"/>
          <w:lang w:eastAsia="ja-JP"/>
        </w:rPr>
        <w:t>医療</w:t>
      </w:r>
      <w:r w:rsidR="00DF03A5" w:rsidRPr="00F46EF2">
        <w:rPr>
          <w:rFonts w:ascii="Times New Roman" w:eastAsia="ＭＳ Ｐ明朝" w:hAnsi="Times New Roman"/>
          <w:sz w:val="20"/>
          <w:szCs w:val="21"/>
          <w:lang w:eastAsia="ja-JP"/>
        </w:rPr>
        <w:t>サービスや</w:t>
      </w:r>
      <w:r w:rsidRPr="00F46EF2">
        <w:rPr>
          <w:rFonts w:ascii="Times New Roman" w:eastAsia="ＭＳ Ｐ明朝" w:hAnsi="Times New Roman"/>
          <w:sz w:val="20"/>
          <w:szCs w:val="21"/>
          <w:lang w:eastAsia="ja-JP"/>
        </w:rPr>
        <w:t>診断検査が含まれる場合に必要とされる</w:t>
      </w:r>
      <w:r w:rsidRPr="00F46EF2">
        <w:rPr>
          <w:rFonts w:ascii="Times New Roman" w:eastAsia="ＭＳ Ｐ明朝" w:hAnsi="Times New Roman"/>
          <w:sz w:val="20"/>
          <w:szCs w:val="21"/>
          <w:lang w:eastAsia="ja-JP"/>
        </w:rPr>
        <w:t>(</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Government&lt;/Author&gt;&lt;Year&gt;2018&lt;/Year&gt;&lt;RecNum&gt;264&lt;/RecNum&gt;&lt;DisplayText&gt;[52]&lt;/DisplayText&gt;&lt;record&gt;&lt;rec-number&gt;264&lt;/rec-number&gt;&lt;foreign-keys&gt;&lt;key app="EN" db-id="z25xddsz659sshedpdu5pda3dswx20f99sf9" timestamp="1695270819"&gt;264&lt;/key&gt;&lt;/foreign-keys&gt;&lt;ref-type name="Journal Article"&gt;17&lt;/ref-type&gt;&lt;contributors&gt;&lt;authors&gt;&lt;author&gt;Australian Government, Department of Health&lt;/author&gt;&lt;/authors&gt;&lt;/contributors&gt;&lt;titles&gt;&lt;title&gt;What is Co-dependent Technology?&lt;/title&gt;&lt;secondary-title&gt;Australian Government Department of Health&lt;/secondary-title&gt;&lt;short-title&gt;What is Co-dependent Technology?&lt;/short-title&gt;&lt;/titles&gt;&lt;periodical&gt;&lt;full-title&gt;Australian Government Department of Health&lt;/full-title&gt;&lt;/periodical&gt;&lt;keywords&gt;&lt;keyword&gt;Medical Services Advisory Committee Facts&lt;/keyword&gt;&lt;/keywords&gt;&lt;dates&gt;&lt;year&gt;2018&lt;/year&gt;&lt;pub-dates&gt;&lt;date&gt;2018/06/06&lt;/date&gt;&lt;/pub-dates&gt;&lt;/dates&gt;&lt;label&gt;OfHealth2018Jun&lt;/label&gt;&lt;urls&gt;&lt;related-urls&gt;&lt;url&gt;http://www.msac.gov.au/internet/msac/publishing.nsf/Content/factsheet-09&lt;/url&gt;&lt;/related-urls&gt;&lt;/urls&gt;&lt;language&gt;English&lt;/language&gt;&lt;access-date&gt;26/07/2023&lt;/access-date&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[52]</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00466786" w:rsidRPr="00F46EF2">
        <w:rPr>
          <w:rFonts w:ascii="Times New Roman" w:eastAsia="ＭＳ Ｐ明朝" w:hAnsi="Times New Roman"/>
          <w:sz w:val="20"/>
          <w:szCs w:val="21"/>
          <w:lang w:eastAsia="ja-JP"/>
        </w:rPr>
        <w:t>一方の委員会が過去の検討の結果、技術ペアの支持を示した場合、または、以前</w:t>
      </w:r>
      <w:r w:rsidR="00466786" w:rsidRPr="00F46EF2">
        <w:rPr>
          <w:rFonts w:ascii="Times New Roman" w:eastAsia="ＭＳ Ｐ明朝" w:hAnsi="Times New Roman"/>
          <w:sz w:val="20"/>
          <w:szCs w:val="21"/>
          <w:lang w:eastAsia="ja-JP"/>
        </w:rPr>
        <w:t>PBS</w:t>
      </w:r>
      <w:r w:rsidR="00466786" w:rsidRPr="00F46EF2">
        <w:rPr>
          <w:rFonts w:ascii="Times New Roman" w:eastAsia="ＭＳ Ｐ明朝" w:hAnsi="Times New Roman"/>
          <w:sz w:val="20"/>
          <w:szCs w:val="21"/>
          <w:lang w:eastAsia="ja-JP"/>
        </w:rPr>
        <w:t>に収載された医薬品と同じ治療クラスにある</w:t>
      </w:r>
      <w:r w:rsidR="00557481" w:rsidRPr="00F46EF2">
        <w:rPr>
          <w:rFonts w:ascii="Times New Roman" w:eastAsia="ＭＳ Ｐ明朝" w:hAnsi="Times New Roman"/>
          <w:sz w:val="20"/>
          <w:szCs w:val="21"/>
          <w:lang w:eastAsia="ja-JP"/>
        </w:rPr>
        <w:t>共依存</w:t>
      </w:r>
      <w:r w:rsidR="00466786" w:rsidRPr="00F46EF2">
        <w:rPr>
          <w:rFonts w:ascii="Times New Roman" w:eastAsia="ＭＳ Ｐ明朝" w:hAnsi="Times New Roman"/>
          <w:sz w:val="20"/>
          <w:szCs w:val="21"/>
          <w:lang w:eastAsia="ja-JP"/>
        </w:rPr>
        <w:t>医薬品のアクセスを可能にするために、</w:t>
      </w:r>
      <w:r w:rsidR="00466786" w:rsidRPr="00F46EF2">
        <w:rPr>
          <w:rFonts w:ascii="Times New Roman" w:eastAsia="ＭＳ Ｐ明朝" w:hAnsi="Times New Roman"/>
          <w:sz w:val="20"/>
          <w:szCs w:val="21"/>
          <w:lang w:eastAsia="ja-JP"/>
        </w:rPr>
        <w:t>MBS</w:t>
      </w:r>
      <w:r w:rsidR="00466786" w:rsidRPr="00F46EF2">
        <w:rPr>
          <w:rFonts w:ascii="Times New Roman" w:eastAsia="ＭＳ Ｐ明朝" w:hAnsi="Times New Roman"/>
          <w:sz w:val="20"/>
          <w:szCs w:val="21"/>
          <w:lang w:eastAsia="ja-JP"/>
        </w:rPr>
        <w:t>の品目記述子について軽微な修正が必要な場合は、合理化された</w:t>
      </w:r>
      <w:r w:rsidR="000129E5" w:rsidRPr="00F46EF2">
        <w:rPr>
          <w:rFonts w:ascii="Times New Roman" w:eastAsia="ＭＳ Ｐ明朝" w:hAnsi="Times New Roman"/>
          <w:sz w:val="20"/>
          <w:szCs w:val="21"/>
          <w:lang w:eastAsia="ja-JP"/>
        </w:rPr>
        <w:t>共依存</w:t>
      </w:r>
      <w:r w:rsidR="00466786" w:rsidRPr="00F46EF2">
        <w:rPr>
          <w:rFonts w:ascii="Times New Roman" w:eastAsia="ＭＳ Ｐ明朝" w:hAnsi="Times New Roman"/>
          <w:sz w:val="20"/>
          <w:szCs w:val="21"/>
          <w:lang w:eastAsia="ja-JP"/>
        </w:rPr>
        <w:t>申請または各技術について別々の申請（検査と医薬品）が適用される。統合された</w:t>
      </w:r>
      <w:r w:rsidR="00466786" w:rsidRPr="00F46EF2">
        <w:rPr>
          <w:rFonts w:ascii="Times New Roman" w:eastAsia="ＭＳ Ｐ明朝" w:hAnsi="Times New Roman"/>
          <w:sz w:val="20"/>
          <w:szCs w:val="21"/>
          <w:lang w:eastAsia="ja-JP"/>
        </w:rPr>
        <w:t>MSAC</w:t>
      </w:r>
      <w:r w:rsidR="00466786"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の共依存申請は、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が並行して、または合同で検討する。</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&lt;EndNote&gt;&lt;Cite&gt;&lt;Author&gt;Kim&lt;/Author&gt;&lt;Year&gt;2021&lt;/Year&gt;&lt;RecNum&gt;310&lt;/RecNum&gt;&lt;DisplayText&gt;[53]&lt;/DisplayText&gt;&lt;record&gt;&lt;rec-number&gt;310&lt;/rec-number&gt;&lt;foreign-keys&gt;&lt;key app="EN" db-id="z25xddsz659sshedpdu5pda3dswx20f99sf9" timestamp="1695270820"&gt;310&lt;/key&gt;&lt;/foreign-keys&gt;&lt;ref-type name="Journal Article"&gt;17&lt;/ref-type&gt;&lt;contributors&gt;&lt;authors&gt;&lt;author&gt;Kim, H.&lt;/author&gt;&lt;author&gt;Byrnes, J.&lt;/author&gt;&lt;author&gt;Goodall, S.&lt;/author&gt;&lt;/authors&gt;&lt;/contributors&gt;&lt;auth-address&gt;School of Public Health and Preventive Medicine, Monash University, Melbourne, Australia. Electronic address: hansoo.kim@monash.edu. School of Medicine, Griffith University, Brisbane, Australia. Centre for Health Economics Research and Evaluation, University of Technology Sydney, Sydney, Australia.&lt;/auth-address&gt;&lt;titles&gt;&lt;title&gt;Health Technology Assessment in Australia: The Pharmaceutical Benefits Advisory Committee and Medical Services Advisory Committee&lt;/title&gt;&lt;secondary-title&gt;Value Health Reg Issues&lt;/secondary-title&gt;&lt;short-title&gt;Health Technology Assessment in Australia: The Pharmaceutical Benefits Advisory Committee and Medical Services Advisory Committee&lt;/short-title&gt;&lt;/titles&gt;&lt;periodical&gt;&lt;full-title&gt;Value Health Reg Issues&lt;/full-title&gt;&lt;/periodical&gt;&lt;pages&gt;6-11&lt;/pages&gt;&lt;volume&gt;24&lt;/volume&gt;&lt;edition&gt;20210109&lt;/edition&gt;&lt;keywords&gt;&lt;keyword&gt;Advisory Committees&lt;/keyword&gt;&lt;keyword&gt;Australia&lt;/keyword&gt;&lt;keyword&gt;Cost-Benefit Analysis&lt;/keyword&gt;&lt;keyword&gt;Humans&lt;/keyword&gt;&lt;keyword&gt;*Pharmaceutical Preparations&lt;/keyword&gt;&lt;keyword&gt;*Technology Assessment, Biomedical&lt;/keyword&gt;&lt;keyword&gt;Australian reimbursement&lt;/keyword&gt;&lt;keyw</w:instrText>
      </w:r>
      <w:r w:rsidR="005E33D6" w:rsidRPr="00F46EF2">
        <w:rPr>
          <w:rFonts w:ascii="Times New Roman" w:eastAsia="ＭＳ Ｐ明朝" w:hAnsi="Times New Roman"/>
          <w:sz w:val="20"/>
          <w:szCs w:val="21"/>
        </w:rPr>
        <w:instrText>ord&gt;Msac&lt;/keyword&gt;&lt;keyword&gt;Pbac&lt;/keyword&gt;&lt;keyword&gt;health technology assessment&lt;/keyword&gt;&lt;/keywords&gt;&lt;dates&gt;&lt;year&gt;2021&lt;/year&gt;&lt;pub-dates&gt;&lt;date&gt;May&lt;/date&gt;&lt;/pub-dates&gt;&lt;/dates&gt;&lt;isbn&gt;2212-1099&lt;/isbn&gt;&lt;accession-num&gt;33429153&lt;/accession-num&gt;&lt;urls&gt;&lt;/urls&gt;&lt;electronic-resource-num&gt;10.1016/j.vhri.2020.09.001&amp;#xD;10.1016/j.vhri.2020.09.001. Epub 2021 Jan 9.&lt;/electronic-resource-num&gt;&lt;remote-database-provider&gt;Nlm&lt;/remote-database-provider&gt;&lt;language&gt;eng&lt;/language&gt;&lt;/record&gt;&lt;/Cite&gt;&lt;/EndNote&gt;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rPr>
        <w:t>[53]</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t>.</w:t>
      </w:r>
    </w:p>
    <w:p w14:paraId="57D13100" w14:textId="77777777" w:rsidR="00156C9E" w:rsidRPr="00F46EF2" w:rsidRDefault="00156C9E">
      <w:pPr>
        <w:pStyle w:val="a3"/>
        <w:rPr>
          <w:rFonts w:ascii="Times New Roman" w:eastAsia="ＭＳ Ｐ明朝" w:hAnsi="Times New Roman"/>
          <w:sz w:val="20"/>
          <w:szCs w:val="21"/>
        </w:rPr>
      </w:pPr>
    </w:p>
    <w:p w14:paraId="729EB220" w14:textId="77777777" w:rsidR="00FF745D" w:rsidRPr="00F46EF2" w:rsidRDefault="00000000">
      <w:pPr>
        <w:pStyle w:val="NbrHeading3"/>
        <w:rPr>
          <w:rFonts w:ascii="Times New Roman" w:eastAsia="ＭＳ Ｐ明朝" w:hAnsi="Times New Roman"/>
          <w:sz w:val="20"/>
          <w:szCs w:val="21"/>
        </w:rPr>
      </w:pPr>
      <w:bookmarkStart w:id="31" w:name="_Toc161997090"/>
      <w:r w:rsidRPr="00F46EF2">
        <w:rPr>
          <w:rFonts w:ascii="Times New Roman" w:eastAsia="ＭＳ Ｐ明朝" w:hAnsi="Times New Roman"/>
          <w:sz w:val="20"/>
          <w:szCs w:val="21"/>
        </w:rPr>
        <w:t>新しいテクノロジー</w:t>
      </w:r>
      <w:bookmarkEnd w:id="31"/>
    </w:p>
    <w:p w14:paraId="4D246D6F"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医薬品、機器、診断、デジタルツールなど、ますます多くの技術を組み合わせる可能性のある個別化医療技術に</w:t>
      </w:r>
      <w:r w:rsidRPr="00F46EF2" w:rsidDel="005136DF">
        <w:rPr>
          <w:rFonts w:ascii="Times New Roman" w:eastAsia="ＭＳ Ｐ明朝" w:hAnsi="Times New Roman"/>
          <w:sz w:val="20"/>
          <w:szCs w:val="21"/>
          <w:lang w:eastAsia="ja-JP"/>
        </w:rPr>
        <w:t>顕著な焦点が当て</w:t>
      </w:r>
      <w:r w:rsidRPr="00F46EF2">
        <w:rPr>
          <w:rFonts w:ascii="Times New Roman" w:eastAsia="ＭＳ Ｐ明朝" w:hAnsi="Times New Roman"/>
          <w:sz w:val="20"/>
          <w:szCs w:val="21"/>
          <w:lang w:eastAsia="ja-JP"/>
        </w:rPr>
        <w:t>られ、多くの新しい</w:t>
      </w:r>
      <w:r w:rsidRPr="00F46EF2" w:rsidDel="005136DF">
        <w:rPr>
          <w:rFonts w:ascii="Times New Roman" w:eastAsia="ＭＳ Ｐ明朝" w:hAnsi="Times New Roman"/>
          <w:sz w:val="20"/>
          <w:szCs w:val="21"/>
          <w:lang w:eastAsia="ja-JP"/>
        </w:rPr>
        <w:t>複合治療が出現している。</w:t>
      </w:r>
      <w:r w:rsidRPr="00F46EF2">
        <w:rPr>
          <w:rFonts w:ascii="Times New Roman" w:eastAsia="ＭＳ Ｐ明朝" w:hAnsi="Times New Roman"/>
          <w:sz w:val="20"/>
          <w:szCs w:val="21"/>
          <w:lang w:eastAsia="ja-JP"/>
        </w:rPr>
        <w:t>これらの新しい技術は、遺伝子治療、細胞ベース治療、精密医療、個別化医療アプローチ、高度生物製剤、革新的医療機器など、個別化治療や治療経路における医療の進歩を表している。</w:t>
      </w:r>
      <w:r w:rsidR="005B73B5" w:rsidRPr="00F46EF2">
        <w:rPr>
          <w:rFonts w:ascii="Times New Roman" w:eastAsia="ＭＳ Ｐ明朝" w:hAnsi="Times New Roman"/>
          <w:sz w:val="20"/>
          <w:szCs w:val="21"/>
          <w:lang w:eastAsia="ja-JP"/>
        </w:rPr>
        <w:t>2</w:t>
      </w:r>
      <w:r w:rsidR="005B73B5" w:rsidRPr="00F46EF2">
        <w:rPr>
          <w:rFonts w:ascii="Times New Roman" w:eastAsia="ＭＳ Ｐ明朝" w:hAnsi="Times New Roman"/>
          <w:sz w:val="20"/>
          <w:szCs w:val="21"/>
          <w:lang w:eastAsia="ja-JP"/>
        </w:rPr>
        <w:t>つの機関（</w:t>
      </w:r>
      <w:r w:rsidR="00E97C55" w:rsidRPr="00F46EF2">
        <w:rPr>
          <w:rFonts w:ascii="Times New Roman" w:eastAsia="ＭＳ Ｐ明朝" w:hAnsi="Times New Roman"/>
          <w:sz w:val="20"/>
          <w:szCs w:val="21"/>
          <w:lang w:eastAsia="ja-JP"/>
        </w:rPr>
        <w:t>イングランド・ウェールズ</w:t>
      </w:r>
      <w:r w:rsidR="005B73B5" w:rsidRPr="00F46EF2">
        <w:rPr>
          <w:rFonts w:ascii="Times New Roman" w:eastAsia="ＭＳ Ｐ明朝" w:hAnsi="Times New Roman"/>
          <w:sz w:val="20"/>
          <w:szCs w:val="21"/>
          <w:lang w:eastAsia="ja-JP"/>
        </w:rPr>
        <w:t>は</w:t>
      </w:r>
      <w:r w:rsidR="005B73B5" w:rsidRPr="00F46EF2">
        <w:rPr>
          <w:rFonts w:ascii="Times New Roman" w:eastAsia="ＭＳ Ｐ明朝" w:hAnsi="Times New Roman"/>
          <w:sz w:val="20"/>
          <w:szCs w:val="21"/>
          <w:lang w:eastAsia="ja-JP"/>
        </w:rPr>
        <w:t>NICE</w:t>
      </w:r>
      <w:r w:rsidR="005B73B5" w:rsidRPr="00F46EF2">
        <w:rPr>
          <w:rFonts w:ascii="Times New Roman" w:eastAsia="ＭＳ Ｐ明朝" w:hAnsi="Times New Roman"/>
          <w:sz w:val="20"/>
          <w:szCs w:val="21"/>
          <w:lang w:eastAsia="ja-JP"/>
        </w:rPr>
        <w:t>、スウェーデンは</w:t>
      </w:r>
      <w:r w:rsidR="005B73B5" w:rsidRPr="00F46EF2">
        <w:rPr>
          <w:rFonts w:ascii="Times New Roman" w:eastAsia="ＭＳ Ｐ明朝" w:hAnsi="Times New Roman"/>
          <w:sz w:val="20"/>
          <w:szCs w:val="21"/>
          <w:lang w:eastAsia="ja-JP"/>
        </w:rPr>
        <w:t>TLV</w:t>
      </w:r>
      <w:r w:rsidR="005B73B5" w:rsidRPr="00F46EF2">
        <w:rPr>
          <w:rFonts w:ascii="Times New Roman" w:eastAsia="ＭＳ Ｐ明朝" w:hAnsi="Times New Roman"/>
          <w:sz w:val="20"/>
          <w:szCs w:val="21"/>
          <w:lang w:eastAsia="ja-JP"/>
        </w:rPr>
        <w:t>）が、新規・新興技術の分野に取り組もうとしている。</w:t>
      </w:r>
      <w:r w:rsidR="005B73B5" w:rsidRPr="00F46EF2">
        <w:rPr>
          <w:rFonts w:ascii="Times New Roman" w:eastAsia="ＭＳ Ｐ明朝" w:hAnsi="Times New Roman"/>
          <w:sz w:val="20"/>
          <w:szCs w:val="21"/>
          <w:lang w:eastAsia="ja-JP"/>
        </w:rPr>
        <w:t>2021</w:t>
      </w:r>
      <w:r w:rsidR="005B73B5" w:rsidRPr="00F46EF2">
        <w:rPr>
          <w:rFonts w:ascii="Times New Roman" w:eastAsia="ＭＳ Ｐ明朝" w:hAnsi="Times New Roman"/>
          <w:sz w:val="20"/>
          <w:szCs w:val="21"/>
          <w:lang w:eastAsia="ja-JP"/>
        </w:rPr>
        <w:t>年、スウェーデンの</w:t>
      </w:r>
      <w:r w:rsidR="005B73B5" w:rsidRPr="00F46EF2">
        <w:rPr>
          <w:rFonts w:ascii="Times New Roman" w:eastAsia="ＭＳ Ｐ明朝" w:hAnsi="Times New Roman"/>
          <w:sz w:val="20"/>
          <w:szCs w:val="21"/>
          <w:lang w:eastAsia="ja-JP"/>
        </w:rPr>
        <w:t>TLV</w:t>
      </w:r>
      <w:r w:rsidR="005B73B5" w:rsidRPr="00F46EF2">
        <w:rPr>
          <w:rFonts w:ascii="Times New Roman" w:eastAsia="ＭＳ Ｐ明朝" w:hAnsi="Times New Roman"/>
          <w:sz w:val="20"/>
          <w:szCs w:val="21"/>
          <w:lang w:eastAsia="ja-JP"/>
        </w:rPr>
        <w:t>は、このテーマに関するガイダンスを発表した。</w:t>
      </w:r>
      <w:r w:rsidR="005B73B5" w:rsidRPr="00F46EF2">
        <w:rPr>
          <w:rFonts w:ascii="Times New Roman" w:eastAsia="ＭＳ Ｐ明朝" w:hAnsi="Times New Roman"/>
          <w:sz w:val="20"/>
          <w:szCs w:val="21"/>
          <w:lang w:eastAsia="ja-JP"/>
        </w:rPr>
        <w:t xml:space="preserve"> </w:t>
      </w:r>
      <w:r w:rsidR="005B73B5"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&lt;EndNote&gt;&lt;Cite&gt;&lt;Author&gt;Dental and Pharmaceutical Benefits Agency (TLV)&lt;/Author&gt;&lt;Year&gt;2021&lt;/Year&gt;&lt;RecNum&gt;87&lt;/RecNum&gt;&lt;DisplayText&gt;[54]&lt;/DisplayText&gt;&lt;record&gt;&lt;rec-number&gt;87&lt;/rec-number&gt;&lt;foreign-keys&gt;&lt;key app="EN" db-id="z25xddsz659sshedpdu5pda3dswx20f99sf9" timestamp="1692001885"&gt;87&lt;/key&gt;&lt;/foreign-keys&gt;&lt;ref-type name="Government Document"&gt;46&lt;/ref-type&gt;&lt;contributors&gt;&lt;authors&gt;&lt;author&gt;Dental and Pharmaceutical Benefits Agency (TLV),&lt;/author&gt;&lt;/authors&gt;&lt;/contributors&gt;&lt;titles&gt;&lt;title&gt;How should we assess and pay? Health-economic assessments and payment models for precision medicines and ATMPs&lt;/title&gt;&lt;/titles&gt;&lt;dates&gt;&lt;year&gt;2021&lt;/year&gt;&lt;/dates&gt;&lt;publisher&gt;TLV&lt;/publisher&gt;&lt;urls&gt;&lt;related-urls&gt;&lt;url&gt;https://www.tlv.se/download/18.2f080b7e182629be22dd4e3c/1660743327830/rapport_rupm_atmp_eng.pdf&lt;/url&gt;&lt;/related-urls&gt;&lt;/urls&gt;&lt;/record&gt;&lt;/Cite&gt;&lt;/EndNote&gt;</w:instrText>
      </w:r>
      <w:r w:rsidR="005B73B5"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[54]</w:t>
      </w:r>
      <w:r w:rsidR="005B73B5" w:rsidRPr="00F46EF2">
        <w:rPr>
          <w:rFonts w:ascii="Times New Roman" w:eastAsia="ＭＳ Ｐ明朝" w:hAnsi="Times New Roman"/>
          <w:sz w:val="20"/>
          <w:szCs w:val="21"/>
        </w:rPr>
        <w:fldChar w:fldCharType="end"/>
      </w:r>
      <w:r w:rsidR="005B73B5" w:rsidRPr="00F46EF2">
        <w:rPr>
          <w:rFonts w:ascii="Times New Roman" w:eastAsia="ＭＳ Ｐ明朝" w:hAnsi="Times New Roman"/>
          <w:sz w:val="20"/>
          <w:szCs w:val="21"/>
          <w:lang w:eastAsia="ja-JP"/>
        </w:rPr>
        <w:t>.2019</w:t>
      </w:r>
      <w:r w:rsidR="005B73B5" w:rsidRPr="00F46EF2">
        <w:rPr>
          <w:rFonts w:ascii="Times New Roman" w:eastAsia="ＭＳ Ｐ明朝" w:hAnsi="Times New Roman"/>
          <w:sz w:val="20"/>
          <w:szCs w:val="21"/>
          <w:lang w:eastAsia="ja-JP"/>
        </w:rPr>
        <w:t>年</w:t>
      </w:r>
      <w:r w:rsidR="005B73B5" w:rsidRPr="00F46EF2">
        <w:rPr>
          <w:rFonts w:ascii="Times New Roman" w:eastAsia="ＭＳ Ｐ明朝" w:hAnsi="Times New Roman"/>
          <w:sz w:val="20"/>
          <w:szCs w:val="21"/>
          <w:lang w:eastAsia="ja-JP"/>
        </w:rPr>
        <w:t>7</w:t>
      </w:r>
      <w:r w:rsidR="005B73B5" w:rsidRPr="00F46EF2">
        <w:rPr>
          <w:rFonts w:ascii="Times New Roman" w:eastAsia="ＭＳ Ｐ明朝" w:hAnsi="Times New Roman"/>
          <w:sz w:val="20"/>
          <w:szCs w:val="21"/>
          <w:lang w:eastAsia="ja-JP"/>
        </w:rPr>
        <w:t>月、</w:t>
      </w:r>
      <w:r w:rsidR="005B73B5" w:rsidRPr="00F46EF2">
        <w:rPr>
          <w:rFonts w:ascii="Times New Roman" w:eastAsia="ＭＳ Ｐ明朝" w:hAnsi="Times New Roman"/>
          <w:sz w:val="20"/>
          <w:szCs w:val="21"/>
          <w:lang w:eastAsia="ja-JP"/>
        </w:rPr>
        <w:t>NICE</w:t>
      </w:r>
      <w:r w:rsidR="005B73B5" w:rsidRPr="00F46EF2">
        <w:rPr>
          <w:rFonts w:ascii="Times New Roman" w:eastAsia="ＭＳ Ｐ明朝" w:hAnsi="Times New Roman"/>
          <w:sz w:val="20"/>
          <w:szCs w:val="21"/>
          <w:lang w:eastAsia="ja-JP"/>
        </w:rPr>
        <w:t>は評価手法のレビューを開始</w:t>
      </w:r>
      <w:r w:rsidR="004B2582" w:rsidRPr="00F46EF2">
        <w:rPr>
          <w:rFonts w:ascii="Times New Roman" w:eastAsia="ＭＳ Ｐ明朝" w:hAnsi="Times New Roman"/>
          <w:sz w:val="20"/>
          <w:szCs w:val="21"/>
          <w:lang w:eastAsia="ja-JP"/>
        </w:rPr>
        <w:t>し、</w:t>
      </w:r>
      <w:r w:rsidR="005B73B5" w:rsidRPr="00F46EF2">
        <w:rPr>
          <w:rFonts w:ascii="Times New Roman" w:eastAsia="ＭＳ Ｐ明朝" w:hAnsi="Times New Roman"/>
          <w:sz w:val="20"/>
          <w:szCs w:val="21"/>
          <w:lang w:eastAsia="ja-JP"/>
        </w:rPr>
        <w:t>「</w:t>
      </w:r>
      <w:r w:rsidR="005B73B5" w:rsidRPr="00F46EF2">
        <w:rPr>
          <w:rFonts w:ascii="Times New Roman" w:eastAsia="ＭＳ Ｐ明朝" w:hAnsi="Times New Roman"/>
          <w:sz w:val="20"/>
          <w:szCs w:val="21"/>
          <w:lang w:eastAsia="ja-JP"/>
        </w:rPr>
        <w:t>CHTE</w:t>
      </w:r>
      <w:r w:rsidR="005B73B5" w:rsidRPr="00F46EF2">
        <w:rPr>
          <w:rFonts w:ascii="Times New Roman" w:eastAsia="ＭＳ Ｐ明朝" w:hAnsi="Times New Roman"/>
          <w:sz w:val="20"/>
          <w:szCs w:val="21"/>
          <w:lang w:eastAsia="ja-JP"/>
        </w:rPr>
        <w:t>手法レビュー」と題する報告書をまとめた。マニュアルの開発。タスク＆フィニッシュグループ報告書」が</w:t>
      </w:r>
      <w:r w:rsidR="001F2923" w:rsidRPr="00F46EF2">
        <w:rPr>
          <w:rFonts w:ascii="Times New Roman" w:eastAsia="ＭＳ Ｐ明朝" w:hAnsi="Times New Roman"/>
          <w:sz w:val="20"/>
          <w:szCs w:val="21"/>
          <w:lang w:eastAsia="ja-JP"/>
        </w:rPr>
        <w:t>2021</w:t>
      </w:r>
      <w:r w:rsidR="001F2923" w:rsidRPr="00F46EF2">
        <w:rPr>
          <w:rFonts w:ascii="Times New Roman" w:eastAsia="ＭＳ Ｐ明朝" w:hAnsi="Times New Roman"/>
          <w:sz w:val="20"/>
          <w:szCs w:val="21"/>
          <w:lang w:eastAsia="ja-JP"/>
        </w:rPr>
        <w:t>年</w:t>
      </w:r>
      <w:r w:rsidR="001F2923" w:rsidRPr="00F46EF2">
        <w:rPr>
          <w:rFonts w:ascii="Times New Roman" w:eastAsia="ＭＳ Ｐ明朝" w:hAnsi="Times New Roman"/>
          <w:sz w:val="20"/>
          <w:szCs w:val="21"/>
          <w:lang w:eastAsia="ja-JP"/>
        </w:rPr>
        <w:t>8</w:t>
      </w:r>
      <w:r w:rsidR="001F2923" w:rsidRPr="00F46EF2">
        <w:rPr>
          <w:rFonts w:ascii="Times New Roman" w:eastAsia="ＭＳ Ｐ明朝" w:hAnsi="Times New Roman"/>
          <w:sz w:val="20"/>
          <w:szCs w:val="21"/>
          <w:lang w:eastAsia="ja-JP"/>
        </w:rPr>
        <w:t>月に</w:t>
      </w:r>
      <w:r w:rsidR="004B2582" w:rsidRPr="00F46EF2">
        <w:rPr>
          <w:rFonts w:ascii="Times New Roman" w:eastAsia="ＭＳ Ｐ明朝" w:hAnsi="Times New Roman"/>
          <w:sz w:val="20"/>
          <w:szCs w:val="21"/>
          <w:lang w:eastAsia="ja-JP"/>
        </w:rPr>
        <w:t>公表された。</w:t>
      </w:r>
      <w:r w:rsidR="004B2582" w:rsidRPr="00F46EF2">
        <w:rPr>
          <w:rFonts w:ascii="Times New Roman" w:eastAsia="ＭＳ Ｐ明朝" w:hAnsi="Times New Roman"/>
          <w:sz w:val="20"/>
          <w:szCs w:val="21"/>
          <w:lang w:eastAsia="ja-JP"/>
        </w:rPr>
        <w:t xml:space="preserve"> </w:t>
      </w:r>
      <w:r w:rsidR="005B73B5"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&lt;EndNote&gt;&lt;Cite&gt;&lt;Author&gt;National Institute for Health and Care Excellence &lt;/Author&gt;&lt;Year&gt;2023&lt;/Year&gt;&lt;RecNum&gt;88&lt;/RecNum&gt;&lt;DisplayText&gt;[55]&lt;/DisplayText&gt;&lt;record&gt;&lt;rec-number&gt;88&lt;/rec-number&gt;&lt;foreign-keys&gt;&lt;key app="EN" db-id="z25xddsz659sshedpdu5pda3dswx20f99sf9" timestamp="1692001886"&gt;88&lt;/key&gt;&lt;/foreign-keys&gt;&lt;ref-type name="Generic"&gt;13&lt;/ref-type&gt;&lt;contributors&gt;&lt;authors&gt;&lt;author&gt;National Institute for Health and Care Excellence ,&lt;/author&gt;&lt;/authors&gt;&lt;/contributors&gt;&lt;titles&gt;&lt;title&gt;Reviewing our methods for health technology evaluation: consultation | NICE guidance | Our programmes | What we do | About | NICE&lt;/title&gt;&lt;/titles&gt;&lt;keywords&gt;&lt;keyword&gt;Health, well-being and care&lt;/keyword&gt;&lt;/keywords&gt;&lt;dates&gt;&lt;year&gt;2023&lt;/year&gt;&lt;pub-dates&gt;&lt;date&gt;2020/12/18&lt;/date&gt;&lt;/pub-dates&gt;&lt;/dates&gt;&lt;publisher&gt;NICE&lt;/publisher&gt;&lt;label&gt;BibEntry2023Aug&lt;/label&gt;&lt;urls&gt;&lt;related-urls&gt;&lt;url&gt;https://www.nice.org.uk/about/what-we-do/our-programmes/nice-guidance/chte-methods-consultation&lt;/url&gt;&lt;/related-urls&gt;&lt;/urls&gt;&lt;language&gt;English&lt;/language&gt;&lt;/record&gt;&lt;/Cite&gt;&lt;/EndNote&gt;</w:instrText>
      </w:r>
      <w:r w:rsidR="005B73B5"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[55]</w:t>
      </w:r>
      <w:r w:rsidR="005B73B5" w:rsidRPr="00F46EF2">
        <w:rPr>
          <w:rFonts w:ascii="Times New Roman" w:eastAsia="ＭＳ Ｐ明朝" w:hAnsi="Times New Roman"/>
          <w:sz w:val="20"/>
          <w:szCs w:val="21"/>
        </w:rPr>
        <w:fldChar w:fldCharType="end"/>
      </w:r>
      <w:r w:rsidR="005B73B5" w:rsidRPr="00F46EF2">
        <w:rPr>
          <w:rFonts w:ascii="Times New Roman" w:eastAsia="ＭＳ Ｐ明朝" w:hAnsi="Times New Roman"/>
          <w:sz w:val="20"/>
          <w:szCs w:val="21"/>
          <w:lang w:eastAsia="ja-JP"/>
        </w:rPr>
        <w:t>.</w:t>
      </w:r>
    </w:p>
    <w:p w14:paraId="09872640" w14:textId="77777777" w:rsidR="00FF745D" w:rsidRPr="00F46EF2" w:rsidRDefault="00000000">
      <w:pPr>
        <w:pStyle w:val="a3"/>
        <w:rPr>
          <w:rFonts w:ascii="Times New Roman" w:eastAsia="ＭＳ Ｐ明朝" w:hAnsi="Times New Roman"/>
          <w:sz w:val="21"/>
          <w:szCs w:val="21"/>
          <w:lang w:eastAsia="ja-JP"/>
        </w:rPr>
      </w:pPr>
      <w:r w:rsidRPr="00F46EF2">
        <w:rPr>
          <w:rFonts w:ascii="Times New Roman" w:eastAsia="ＭＳ Ｐ明朝" w:hAnsi="Times New Roman"/>
          <w:sz w:val="20"/>
          <w:szCs w:val="21"/>
          <w:lang w:eastAsia="ja-JP"/>
        </w:rPr>
        <w:t>スウェーデンの</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は、</w:t>
      </w:r>
      <w:r w:rsidR="005B73B5" w:rsidRPr="00F46EF2">
        <w:rPr>
          <w:rFonts w:ascii="Times New Roman" w:eastAsia="ＭＳ Ｐ明朝" w:hAnsi="Times New Roman"/>
          <w:sz w:val="20"/>
          <w:szCs w:val="21"/>
          <w:lang w:eastAsia="ja-JP"/>
        </w:rPr>
        <w:t>精密医療と</w:t>
      </w:r>
      <w:r w:rsidR="005B73B5" w:rsidRPr="00F46EF2">
        <w:rPr>
          <w:rFonts w:ascii="Times New Roman" w:eastAsia="ＭＳ Ｐ明朝" w:hAnsi="Times New Roman"/>
          <w:sz w:val="20"/>
          <w:szCs w:val="21"/>
          <w:lang w:eastAsia="ja-JP"/>
        </w:rPr>
        <w:t>ATMP</w:t>
      </w:r>
      <w:r w:rsidR="005B73B5" w:rsidRPr="00F46EF2">
        <w:rPr>
          <w:rFonts w:ascii="Times New Roman" w:eastAsia="ＭＳ Ｐ明朝" w:hAnsi="Times New Roman"/>
          <w:sz w:val="20"/>
          <w:szCs w:val="21"/>
          <w:lang w:eastAsia="ja-JP"/>
        </w:rPr>
        <w:t>の価値を特定するための主な障害は、様々な治療や検査から、代替案と比較して、また長期的に、どれだけの健康上の利益が得られるかについての証拠がないことであると</w:t>
      </w:r>
      <w:r w:rsidRPr="00F46EF2">
        <w:rPr>
          <w:rFonts w:ascii="Times New Roman" w:eastAsia="ＭＳ Ｐ明朝" w:hAnsi="Times New Roman"/>
          <w:sz w:val="20"/>
          <w:szCs w:val="21"/>
          <w:lang w:eastAsia="ja-JP"/>
        </w:rPr>
        <w:t>結論づけた。</w:t>
      </w:r>
    </w:p>
    <w:p w14:paraId="20D32072"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lastRenderedPageBreak/>
        <w:t>英国の</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は、新しい技術や出現しつつある技術に対する新しい手法を含む評価ガイドラインの更新の必要性について、興味深い事例を示している。</w:t>
      </w:r>
      <w:r w:rsidRPr="00F46EF2">
        <w:rPr>
          <w:rFonts w:ascii="Times New Roman" w:eastAsia="ＭＳ Ｐ明朝" w:hAnsi="Times New Roman"/>
          <w:sz w:val="20"/>
          <w:szCs w:val="21"/>
          <w:lang w:eastAsia="ja-JP"/>
        </w:rPr>
        <w:t>2017</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が</w:t>
      </w:r>
      <w:r w:rsidR="00E723E9" w:rsidRPr="00F46EF2">
        <w:rPr>
          <w:rFonts w:ascii="Times New Roman" w:eastAsia="ＭＳ Ｐ明朝" w:hAnsi="Times New Roman"/>
          <w:sz w:val="20"/>
          <w:szCs w:val="21"/>
          <w:lang w:eastAsia="ja-JP"/>
        </w:rPr>
        <w:t>委託した</w:t>
      </w:r>
      <w:r w:rsidRPr="00F46EF2">
        <w:rPr>
          <w:rFonts w:ascii="Times New Roman" w:eastAsia="ＭＳ Ｐ明朝" w:hAnsi="Times New Roman"/>
          <w:sz w:val="20"/>
          <w:szCs w:val="21"/>
          <w:lang w:eastAsia="ja-JP"/>
        </w:rPr>
        <w:t>報告書は、臨床効果と費用対効果を評価するための標準的な</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の手法とプロセスは、</w:t>
      </w:r>
      <w:r w:rsidRPr="00F46EF2">
        <w:rPr>
          <w:rFonts w:ascii="Times New Roman" w:eastAsia="ＭＳ Ｐ明朝" w:hAnsi="Times New Roman"/>
          <w:sz w:val="20"/>
          <w:szCs w:val="21"/>
          <w:lang w:eastAsia="ja-JP"/>
        </w:rPr>
        <w:t>ATMP</w:t>
      </w:r>
      <w:r w:rsidRPr="00F46EF2">
        <w:rPr>
          <w:rFonts w:ascii="Times New Roman" w:eastAsia="ＭＳ Ｐ明朝" w:hAnsi="Times New Roman"/>
          <w:sz w:val="20"/>
          <w:szCs w:val="21"/>
          <w:lang w:eastAsia="ja-JP"/>
        </w:rPr>
        <w:t>に対して概ね適切であると判断した</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&lt;EndNote&gt;&lt;Cite&gt;&lt;Author&gt;Hettle&lt;/Author&gt;&lt;Year&gt;2017&lt;/Year&gt;&lt;RecNum&gt;104&lt;/RecNum&gt;&lt;DisplayText&gt;[56]&lt;/DisplayText&gt;&lt;record&gt;&lt;rec-number&gt;104&lt;/rec-number&gt;&lt;foreign-keys&gt;&lt;key app="EN" db-id="z25xddsz659sshedpdu5pda3dswx20f99sf9" timestamp="1692001887"&gt;104&lt;/key&gt;&lt;/foreign-keys&gt;&lt;ref-type name="Journal Article"&gt;17&lt;/ref-type&gt;&lt;contributors&gt;&lt;authors&gt;&lt;author&gt;Hettle, Robert&lt;/author&gt;&lt;author&gt;Corbett, Mark&lt;/author&gt;&lt;author&gt;Hinde, Sebastian&lt;/author&gt;&lt;author&gt;Hodgson, Robert&lt;/author&gt;&lt;author&gt;Jones-Diette, Julie&lt;/author&gt;&lt;author&gt;Woolacott, Nerys&lt;/author&gt;&lt;author&gt;Palmer, Stephen&lt;/author&gt;&lt;/authors&gt;&lt;/contributors&gt;&lt;titles&gt;&lt;title&gt;The assessment and appraisal of regenerative medicines and cell therapy products: An exploration of methods for review, economic evaluation and appraisal&lt;/title&gt;&lt;secondary-title&gt;Health Technology Assessment&lt;/secondary-title&gt;&lt;/titles&gt;&lt;periodical&gt;&lt;full-title&gt;Health Technology Assessment&lt;/full-title&gt;&lt;/periodical&gt;&lt;pages&gt;1-204&lt;/pages&gt;&lt;volume&gt;21&lt;/volume&gt;&lt;dates&gt;&lt;year&gt;2017&lt;/year&gt;&lt;pub-dates&gt;&lt;date&gt;02/01&lt;/date&gt;&lt;/pub-dates&gt;&lt;/dates&gt;&lt;urls&gt;&lt;/urls&gt;&lt;electronic-resource-num&gt;10.3310/hta21070&lt;/electronic-resource-num&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[56]</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&lt;EndNote&gt;&lt;Cite&gt;&lt;Author&gt;Marsden&lt;/Author&gt;&lt;Year&gt;2017&lt;/Year&gt;&lt;RecNum&gt;105&lt;/RecNum&gt;&lt;DisplayText&gt;[57]&lt;/DisplayText&gt;&lt;record&gt;&lt;rec-number&gt;105&lt;/rec-number&gt;&lt;foreign-keys&gt;&lt;key app="EN" db-id="z25xddsz659sshedpdu5pda3dswx20f99sf9" timestamp="1692001887"&gt;105&lt;/key&gt;&lt;/foreign-keys&gt;&lt;ref-type name="Journal Article"&gt;17&lt;/ref-type&gt;&lt;contributors&gt;&lt;authors&gt;&lt;author&gt;Marsden, Grace&lt;/author&gt;&lt;author&gt;Towse, Adrian&lt;/author&gt;&lt;/authors&gt;&lt;/contributors&gt;&lt;titles&gt;&lt;title&gt;Exploring the assessment and appraisal of regenerative medicines and cell therapy products: is the NICE approach fit for purpose&lt;/title&gt;&lt;secondary-title&gt;Office of Health Economics, London&lt;/secondary-title&gt;&lt;/titles&gt;&lt;periodical&gt;&lt;full-title&gt;Office of Health Economics, London&lt;/full-title&gt;&lt;/periodical&gt;&lt;dates&gt;&lt;year&gt;2017&lt;/year&gt;&lt;/dates&gt;&lt;urls&gt;&lt;/urls&gt;&lt;/record&gt;&lt;/Cite&gt;&lt;/EndNote&gt;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[57]</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は、このような技術に内在する不確実性と潜在的な患者の利益を認識し、リスクを管理するための創意に富んだ支払いメカニズムの必要性を認めた。この認識により、</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年には、長期的な転帰に関する知見が乏しい新し</w:t>
      </w:r>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い技術や新たな技術に対応する手法の提案は限定的に統合されたものの、複雑な技術に対す</w:t>
      </w:r>
      <w:proofErr w:type="spellEnd"/>
      <w:r w:rsidRPr="00F46EF2">
        <w:rPr>
          <w:rFonts w:ascii="Times New Roman" w:eastAsia="ＭＳ Ｐ明朝" w:hAnsi="Times New Roman"/>
          <w:sz w:val="20"/>
          <w:szCs w:val="21"/>
          <w:lang w:eastAsia="ja-JP"/>
        </w:rPr>
        <w:t xml:space="preserve"> </w:t>
      </w:r>
      <w:proofErr w:type="spellStart"/>
      <w:r w:rsidRPr="00F46EF2">
        <w:rPr>
          <w:rFonts w:ascii="Times New Roman" w:eastAsia="ＭＳ Ｐ明朝" w:hAnsi="Times New Roman"/>
          <w:sz w:val="20"/>
          <w:szCs w:val="21"/>
          <w:lang w:eastAsia="ja-JP"/>
        </w:rPr>
        <w:t>る手法の見直しが行われた</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fldData xml:space="preserve">PEVuZE5vdGU+PENpdGU+PEF1dGhvcj5BbmdlbGlzPC9BdXRob3I+PFllYXI+MjAyMzwvWWVhcj48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</w:fldData>
        </w:fldChar>
      </w:r>
      <w:r w:rsidR="005E33D6" w:rsidRPr="00F46EF2">
        <w:rPr>
          <w:rFonts w:ascii="Times New Roman" w:eastAsia="ＭＳ Ｐ明朝" w:hAnsi="Times New Roman"/>
          <w:sz w:val="20"/>
          <w:szCs w:val="21"/>
          <w:lang w:eastAsia="ja-JP"/>
        </w:rPr>
        <w:instrText xml:space="preserve"> ADDIN EN.CITE </w:instrText>
      </w:r>
      <w:r w:rsidR="005E33D6" w:rsidRPr="00F46EF2">
        <w:rPr>
          <w:rFonts w:ascii="Times New Roman" w:eastAsia="ＭＳ Ｐ明朝" w:hAnsi="Times New Roman"/>
          <w:sz w:val="20"/>
          <w:szCs w:val="21"/>
        </w:rPr>
        <w:fldChar w:fldCharType="begin">
          <w:fldData xml:space="preserve">PEVuZE5vdGU+PENpdGU+PEF1dGhvcj5BbmdlbGlzPC9BdXRob3I+PFllYXI+MjAyMzwvWWVhcj48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</w:fldData>
        </w:fldChar>
      </w:r>
      <w:r w:rsidR="005E33D6" w:rsidRPr="00F46EF2">
        <w:rPr>
          <w:rFonts w:ascii="Times New Roman" w:eastAsia="ＭＳ Ｐ明朝" w:hAnsi="Times New Roman"/>
          <w:sz w:val="20"/>
          <w:szCs w:val="21"/>
          <w:lang w:eastAsia="ja-JP"/>
        </w:rPr>
        <w:instrText xml:space="preserve"> ADDIN EN.CITE.DATA </w:instrText>
      </w:r>
      <w:r w:rsidR="005E33D6" w:rsidRPr="00F46EF2">
        <w:rPr>
          <w:rFonts w:ascii="Times New Roman" w:eastAsia="ＭＳ Ｐ明朝" w:hAnsi="Times New Roman"/>
          <w:sz w:val="20"/>
          <w:szCs w:val="21"/>
        </w:rPr>
      </w:r>
      <w:r w:rsidR="005E33D6"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rPr>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[58]</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p>
    <w:p w14:paraId="5E907BEC" w14:textId="77777777" w:rsidR="00FF745D"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国際的なガイドラインの</w:t>
      </w:r>
      <w:r w:rsidR="00005E6D" w:rsidRPr="00F46EF2">
        <w:rPr>
          <w:rFonts w:ascii="Times New Roman" w:eastAsia="ＭＳ Ｐ明朝" w:hAnsi="Times New Roman"/>
          <w:sz w:val="20"/>
          <w:szCs w:val="21"/>
          <w:lang w:eastAsia="ja-JP"/>
        </w:rPr>
        <w:t>方法論</w:t>
      </w:r>
      <w:r w:rsidRPr="00F46EF2">
        <w:rPr>
          <w:rFonts w:ascii="Times New Roman" w:eastAsia="ＭＳ Ｐ明朝" w:hAnsi="Times New Roman"/>
          <w:sz w:val="20"/>
          <w:szCs w:val="21"/>
          <w:lang w:eastAsia="ja-JP"/>
        </w:rPr>
        <w:t>レビューでは、新技術の新しい評価方法の統合に向けた</w:t>
      </w:r>
      <w:r w:rsidR="00B12F5D" w:rsidRPr="00F46EF2">
        <w:rPr>
          <w:rFonts w:ascii="Times New Roman" w:eastAsia="ＭＳ Ｐ明朝" w:hAnsi="Times New Roman"/>
          <w:sz w:val="20"/>
          <w:szCs w:val="21"/>
          <w:lang w:eastAsia="ja-JP"/>
        </w:rPr>
        <w:t>アプローチの</w:t>
      </w:r>
      <w:r w:rsidRPr="00F46EF2">
        <w:rPr>
          <w:rFonts w:ascii="Times New Roman" w:eastAsia="ＭＳ Ｐ明朝" w:hAnsi="Times New Roman"/>
          <w:sz w:val="20"/>
          <w:szCs w:val="21"/>
          <w:lang w:eastAsia="ja-JP"/>
        </w:rPr>
        <w:t>違いが示された。特に、スウェーデン</w:t>
      </w:r>
      <w:r w:rsidR="00005E6D" w:rsidRPr="00F46EF2">
        <w:rPr>
          <w:rFonts w:ascii="Times New Roman" w:eastAsia="ＭＳ Ｐ明朝" w:hAnsi="Times New Roman"/>
          <w:sz w:val="20"/>
          <w:szCs w:val="21"/>
          <w:lang w:eastAsia="ja-JP"/>
        </w:rPr>
        <w:t>（</w:t>
      </w:r>
      <w:r w:rsidR="00005E6D" w:rsidRPr="00F46EF2">
        <w:rPr>
          <w:rFonts w:ascii="Times New Roman" w:eastAsia="ＭＳ Ｐ明朝" w:hAnsi="Times New Roman"/>
          <w:sz w:val="20"/>
          <w:szCs w:val="21"/>
          <w:lang w:eastAsia="ja-JP"/>
        </w:rPr>
        <w:t>TLV</w:t>
      </w:r>
      <w:r w:rsidR="00005E6D" w:rsidRPr="00F46EF2">
        <w:rPr>
          <w:rFonts w:ascii="Times New Roman" w:eastAsia="ＭＳ Ｐ明朝" w:hAnsi="Times New Roman"/>
          <w:sz w:val="20"/>
          <w:szCs w:val="21"/>
          <w:lang w:eastAsia="ja-JP"/>
        </w:rPr>
        <w:t>）が</w:t>
      </w:r>
      <w:r w:rsidRPr="00F46EF2">
        <w:rPr>
          <w:rFonts w:ascii="Times New Roman" w:eastAsia="ＭＳ Ｐ明朝" w:hAnsi="Times New Roman"/>
          <w:sz w:val="20"/>
          <w:szCs w:val="21"/>
          <w:lang w:eastAsia="ja-JP"/>
        </w:rPr>
        <w:t>提案した方法論や、</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が提案した新しい方法論は、</w:t>
      </w:r>
      <w:r w:rsidRPr="00F46EF2">
        <w:rPr>
          <w:rFonts w:ascii="Times New Roman" w:eastAsia="ＭＳ Ｐ明朝" w:hAnsi="Times New Roman"/>
          <w:sz w:val="20"/>
          <w:szCs w:val="21"/>
          <w:lang w:eastAsia="ja-JP"/>
        </w:rPr>
        <w:t>PBAC</w:t>
      </w:r>
      <w:r w:rsidRPr="00F46EF2">
        <w:rPr>
          <w:rFonts w:ascii="Times New Roman" w:eastAsia="ＭＳ Ｐ明朝" w:hAnsi="Times New Roman"/>
          <w:sz w:val="20"/>
          <w:szCs w:val="21"/>
          <w:lang w:eastAsia="ja-JP"/>
        </w:rPr>
        <w:t>や</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のガイドラインが、</w:t>
      </w:r>
      <w:r w:rsidR="00005E6D" w:rsidRPr="00F46EF2">
        <w:rPr>
          <w:rFonts w:ascii="Times New Roman" w:eastAsia="ＭＳ Ｐ明朝" w:hAnsi="Times New Roman"/>
          <w:sz w:val="20"/>
          <w:szCs w:val="21"/>
          <w:lang w:eastAsia="ja-JP"/>
        </w:rPr>
        <w:t>新しい技術や出現しつつある技術の課題に対応する方法を概説していない</w:t>
      </w:r>
      <w:r w:rsidRPr="00F46EF2">
        <w:rPr>
          <w:rFonts w:ascii="Times New Roman" w:eastAsia="ＭＳ Ｐ明朝" w:hAnsi="Times New Roman"/>
          <w:sz w:val="20"/>
          <w:szCs w:val="21"/>
          <w:lang w:eastAsia="ja-JP"/>
        </w:rPr>
        <w:t>ことと対照的である。</w:t>
      </w:r>
      <w:r w:rsidR="003D75DD" w:rsidRPr="00F46EF2">
        <w:rPr>
          <w:rFonts w:ascii="Times New Roman" w:eastAsia="ＭＳ Ｐ明朝" w:hAnsi="Times New Roman"/>
          <w:sz w:val="20"/>
          <w:szCs w:val="21"/>
          <w:lang w:eastAsia="ja-JP"/>
        </w:rPr>
        <w:t>これらのガイドラインの使用から得られる新たな経験に従って、オーストラリアの既存のガイドラインを適応させ、特殊技術の評価に特化した手法を取り入れることが適切かもしれない。</w:t>
      </w:r>
      <w:r w:rsidR="003D75DD" w:rsidRPr="00F46EF2">
        <w:rPr>
          <w:rFonts w:ascii="Times New Roman" w:eastAsia="ＭＳ Ｐ明朝" w:hAnsi="Times New Roman"/>
          <w:sz w:val="20"/>
          <w:szCs w:val="21"/>
          <w:lang w:eastAsia="ja-JP"/>
        </w:rPr>
        <w:t xml:space="preserve">  </w:t>
      </w:r>
    </w:p>
    <w:p w14:paraId="413DB572" w14:textId="77777777" w:rsidR="00156C9E" w:rsidRPr="00F46EF2" w:rsidRDefault="00156C9E">
      <w:pPr>
        <w:pStyle w:val="a3"/>
        <w:rPr>
          <w:rFonts w:ascii="Times New Roman" w:eastAsia="ＭＳ Ｐ明朝" w:hAnsi="Times New Roman"/>
          <w:sz w:val="20"/>
          <w:szCs w:val="21"/>
          <w:lang w:eastAsia="ja-JP"/>
        </w:rPr>
      </w:pPr>
    </w:p>
    <w:p w14:paraId="67EEE3A6" w14:textId="77777777" w:rsidR="00FF745D" w:rsidRPr="00F46EF2" w:rsidRDefault="00725C1F">
      <w:pPr>
        <w:pStyle w:val="NbrHeading3"/>
        <w:rPr>
          <w:rFonts w:ascii="Times New Roman" w:eastAsia="ＭＳ Ｐ明朝" w:hAnsi="Times New Roman"/>
          <w:sz w:val="20"/>
          <w:szCs w:val="21"/>
          <w:lang w:eastAsia="ja-JP"/>
        </w:rPr>
      </w:pPr>
      <w:bookmarkStart w:id="32" w:name="_Toc161997091"/>
      <w:proofErr w:type="spellStart"/>
      <w:r w:rsidRPr="00F46EF2">
        <w:rPr>
          <w:rFonts w:ascii="Times New Roman" w:eastAsia="ＭＳ Ｐ明朝" w:hAnsi="Times New Roman"/>
          <w:sz w:val="20"/>
          <w:szCs w:val="21"/>
          <w:lang w:eastAsia="ja-JP"/>
        </w:rPr>
        <w:t>複数の小集団／小集団</w:t>
      </w:r>
      <w:r w:rsidR="001C26FC"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価格設定へのフローオン効果</w:t>
      </w:r>
      <w:bookmarkEnd w:id="32"/>
      <w:proofErr w:type="spellEnd"/>
    </w:p>
    <w:p w14:paraId="52A04C1E"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プロセスは、国際的に一貫したプロセスであり、一度に単一の適応症に対して実施される。メーカーやスポンサーは、最初の適応症が重症度の高い疾患である場合や、適応症がアンメットニーズを満たすものである場合、単一適応症の製品を発売する。しかし、医療技術は複数の適応症のために開発されており、これらの患者集団における臨床的有用性の程度は様々である。最初の適応症とその後の適応症との比較は</w:t>
      </w:r>
      <w:r w:rsidR="00E16E3A"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価格が最初の適応症に基づく場合、大きな課題となりうる。複数の適応症を有する製品のフローオンプライシングのための</w:t>
      </w:r>
      <w:r w:rsidRPr="00F46EF2">
        <w:rPr>
          <w:rFonts w:ascii="Times New Roman" w:eastAsia="ＭＳ Ｐ明朝" w:hAnsi="Times New Roman"/>
          <w:sz w:val="20"/>
          <w:szCs w:val="21"/>
          <w:lang w:eastAsia="ja-JP"/>
        </w:rPr>
        <w:t>3</w:t>
      </w:r>
      <w:r w:rsidRPr="00F46EF2">
        <w:rPr>
          <w:rFonts w:ascii="Times New Roman" w:eastAsia="ＭＳ Ｐ明朝" w:hAnsi="Times New Roman"/>
          <w:sz w:val="20"/>
          <w:szCs w:val="21"/>
          <w:lang w:eastAsia="ja-JP"/>
        </w:rPr>
        <w:t>つの方法が</w:t>
      </w:r>
      <w:r w:rsidR="00670A35" w:rsidRPr="00F46EF2">
        <w:rPr>
          <w:rFonts w:ascii="Times New Roman" w:eastAsia="ＭＳ Ｐ明朝" w:hAnsi="Times New Roman"/>
          <w:sz w:val="20"/>
          <w:szCs w:val="21"/>
          <w:lang w:eastAsia="ja-JP"/>
        </w:rPr>
        <w:t>文献に</w:t>
      </w:r>
      <w:r w:rsidRPr="00F46EF2">
        <w:rPr>
          <w:rFonts w:ascii="Times New Roman" w:eastAsia="ＭＳ Ｐ明朝" w:hAnsi="Times New Roman"/>
          <w:sz w:val="20"/>
          <w:szCs w:val="21"/>
          <w:lang w:eastAsia="ja-JP"/>
        </w:rPr>
        <w:t>記載されて</w:t>
      </w:r>
      <w:r w:rsidR="00E16E3A" w:rsidRPr="00F46EF2">
        <w:rPr>
          <w:rFonts w:ascii="Times New Roman" w:eastAsia="ＭＳ Ｐ明朝" w:hAnsi="Times New Roman"/>
          <w:sz w:val="20"/>
          <w:szCs w:val="21"/>
          <w:lang w:eastAsia="ja-JP"/>
        </w:rPr>
        <w:t>いる。</w:t>
      </w:r>
      <w:r w:rsidR="00E16E3A" w:rsidRPr="00F46EF2">
        <w:rPr>
          <w:rFonts w:ascii="Times New Roman" w:eastAsia="ＭＳ Ｐ明朝" w:hAnsi="Times New Roman"/>
          <w:sz w:val="20"/>
          <w:szCs w:val="21"/>
          <w:lang w:eastAsia="ja-JP"/>
        </w:rPr>
        <w:t xml:space="preserve"> </w:t>
      </w:r>
      <w:r w:rsidR="00670A35"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&lt;EndNote&gt;&lt;Cite&gt;&lt;Author&gt;Campillo-Artero&lt;/Author&gt;&lt;Year&gt;2020&lt;/Year&gt;&lt;RecNum&gt;130&lt;/RecNum&gt;&lt;DisplayText&gt;[59, 60]&lt;/DisplayText&gt;&lt;record&gt;&lt;rec-number&gt;130&lt;/rec-number&gt;&lt;foreign-keys&gt;&lt;key app="EN" db-id="z25xddsz659sshedpdu5pda3dswx20f99sf9" timestamp="1692002023"&gt;130&lt;/key&gt;&lt;/foreign-keys&gt;&lt;ref-type name="Journal Article"&gt;17&lt;/ref-type&gt;&lt;contributors&gt;&lt;authors&gt;&lt;author&gt;Campillo-Artero, Carlos&lt;/author&gt;&lt;author&gt;Puig-Junoy, Jaume&lt;/author&gt;&lt;author&gt;Segú-Tolsa, José Luis&lt;/author&gt;&lt;author&gt;Trapero-Bertran, Marta&lt;/author&gt;&lt;/authors&gt;&lt;/contributors&gt;&lt;titles&gt;&lt;title&gt;Price models for multi-indication drugs: a systematic review&lt;/title&gt;&lt;secondary-title&gt;Applied health economics and health policy&lt;/secondary-title&gt;&lt;/titles&gt;&lt;periodical&gt;&lt;full-title&gt;Applied Health Economics and Health Policy&lt;/full-title&gt;&lt;/periodical&gt;&lt;pages&gt;47-56&lt;/pages&gt;&lt;volume&gt;18&lt;/volume&gt;&lt;dates&gt;&lt;year&gt;2020&lt;/year&gt;&lt;/dates&gt;&lt;isbn&gt;1175-5652&lt;/isbn&gt;&lt;urls&gt;&lt;/urls&gt;&lt;/record&gt;&lt;/Cite&gt;&lt;Cite&gt;&lt;Author&gt;Michaeli&lt;/Author&gt;&lt;Year&gt;2022&lt;/Year&gt;&lt;RecNum&gt;191&lt;/RecNum&gt;&lt;record&gt;&lt;rec-number&gt;191&lt;/rec-number&gt;&lt;foreign-keys&gt;&lt;key app="EN" db-id="z25xddsz659sshedpdu5pda3dswx20f99sf9" timestamp="1692002023"&gt;191&lt;/key&gt;&lt;/foreign-keys&gt;&lt;ref-type name="Journal Article"&gt;17&lt;/ref-type&gt;&lt;contributors&gt;&lt;authors&gt;&lt;author&gt;Michaeli, Daniel Tobias&lt;/author&gt;&lt;author&gt;Mills, Mackenzie&lt;/author&gt;&lt;author&gt;Kanavos, Panos&lt;/author&gt;&lt;/authors&gt;&lt;/contributors&gt;&lt;titles&gt;&lt;title&gt;Value and price of multi-indication cancer drugs in the USA, Germany, France, England, Canada, Australia, and Scotland&lt;/title&gt;&lt;secondary-title&gt;Applied Health Economics and Health Policy&lt;/secondary-title&gt;&lt;/titles&gt;&lt;periodical&gt;&lt;full-title&gt;Applied Health Economics and Health Policy&lt;/full-title&gt;&lt;/periodical&gt;&lt;pages&gt;757-768&lt;/pages&gt;&lt;volume&gt;20&lt;/volume&gt;&lt;number&gt;5&lt;/number&gt;&lt;dates&gt;&lt;year&gt;2022&lt;/year&gt;&lt;/dates&gt;&lt;isbn&gt;1175-5652&lt;/isbn&gt;&lt;urls&gt;&lt;/urls&gt;&lt;/record&gt;&lt;/Cite&gt;&lt;/EndNote&gt;</w:instrText>
      </w:r>
      <w:r w:rsidR="00670A35"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[59, 60]</w:t>
      </w:r>
      <w:r w:rsidR="00670A35"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 xml:space="preserve">:1) </w:t>
      </w:r>
      <w:proofErr w:type="spellStart"/>
      <w:r w:rsidRPr="00F46EF2">
        <w:rPr>
          <w:rFonts w:ascii="Times New Roman" w:eastAsia="ＭＳ Ｐ明朝" w:hAnsi="Times New Roman"/>
          <w:sz w:val="20"/>
          <w:szCs w:val="21"/>
          <w:lang w:eastAsia="ja-JP"/>
        </w:rPr>
        <w:t>単一価格政策：適応症に関係なく同じ価格が適用される（適応症に特化した価格、加重</w:t>
      </w:r>
      <w:r w:rsidR="00670A35" w:rsidRPr="00F46EF2">
        <w:rPr>
          <w:rFonts w:ascii="Times New Roman" w:eastAsia="ＭＳ Ｐ明朝" w:hAnsi="Times New Roman"/>
          <w:sz w:val="20"/>
          <w:szCs w:val="21"/>
          <w:lang w:eastAsia="ja-JP"/>
        </w:rPr>
        <w:t>価格</w:t>
      </w:r>
      <w:r w:rsidRPr="00F46EF2">
        <w:rPr>
          <w:rFonts w:ascii="Times New Roman" w:eastAsia="ＭＳ Ｐ明朝" w:hAnsi="Times New Roman"/>
          <w:sz w:val="20"/>
          <w:szCs w:val="21"/>
          <w:lang w:eastAsia="ja-JP"/>
        </w:rPr>
        <w:t>、その他の価格は考慮されない</w:t>
      </w:r>
      <w:proofErr w:type="spellEnd"/>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2) </w:t>
      </w:r>
      <w:proofErr w:type="spellStart"/>
      <w:r w:rsidRPr="00F46EF2">
        <w:rPr>
          <w:rFonts w:ascii="Times New Roman" w:eastAsia="ＭＳ Ｐ明朝" w:hAnsi="Times New Roman"/>
          <w:sz w:val="20"/>
          <w:szCs w:val="21"/>
          <w:lang w:eastAsia="ja-JP"/>
        </w:rPr>
        <w:t>適応症に基づく価格設定：適応症ごとに提供されるベネフィットまたは価値に応じて差のある価格が</w:t>
      </w:r>
      <w:r w:rsidR="00670A35" w:rsidRPr="00F46EF2">
        <w:rPr>
          <w:rFonts w:ascii="Times New Roman" w:eastAsia="ＭＳ Ｐ明朝" w:hAnsi="Times New Roman"/>
          <w:sz w:val="20"/>
          <w:szCs w:val="21"/>
          <w:lang w:eastAsia="ja-JP"/>
        </w:rPr>
        <w:t>適用される</w:t>
      </w:r>
      <w:proofErr w:type="spellEnd"/>
      <w:r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6A94FB8E" w14:textId="77777777" w:rsidR="00FF745D" w:rsidRPr="00F46EF2" w:rsidRDefault="00000000">
      <w:pPr>
        <w:pStyle w:val="a3"/>
        <w:rPr>
          <w:rFonts w:ascii="Times New Roman" w:eastAsia="ＭＳ Ｐ明朝" w:hAnsi="Times New Roman"/>
          <w:sz w:val="20"/>
          <w:szCs w:val="21"/>
        </w:rPr>
      </w:pPr>
      <w:r w:rsidRPr="00F46EF2">
        <w:rPr>
          <w:rFonts w:ascii="Times New Roman" w:eastAsia="ＭＳ Ｐ明朝" w:hAnsi="Times New Roman"/>
          <w:sz w:val="20"/>
          <w:szCs w:val="21"/>
          <w:lang w:eastAsia="ja-JP"/>
        </w:rPr>
        <w:t>オーストラリアでは、</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は一度に一つの適応症で実施されるため、間接的な適応症に基づく価格設定方法は、</w:t>
      </w:r>
      <w:r w:rsidRPr="00F46EF2">
        <w:rPr>
          <w:rFonts w:ascii="Times New Roman" w:eastAsia="ＭＳ Ｐ明朝" w:hAnsi="Times New Roman"/>
          <w:sz w:val="20"/>
          <w:szCs w:val="21"/>
          <w:lang w:eastAsia="ja-JP"/>
        </w:rPr>
        <w:t>SPA</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RSA</w:t>
      </w:r>
      <w:r w:rsidRPr="00F46EF2">
        <w:rPr>
          <w:rFonts w:ascii="Times New Roman" w:eastAsia="ＭＳ Ｐ明朝" w:hAnsi="Times New Roman"/>
          <w:sz w:val="20"/>
          <w:szCs w:val="21"/>
          <w:lang w:eastAsia="ja-JP"/>
        </w:rPr>
        <w:t>、または他のタイプの契約を用いて適用される。間接的な効能・効果に基づく価格設定方法は、</w:t>
      </w:r>
      <w:r w:rsidR="003B520A" w:rsidRPr="00F46EF2">
        <w:rPr>
          <w:rFonts w:ascii="Times New Roman" w:eastAsia="ＭＳ Ｐ明朝" w:hAnsi="Times New Roman"/>
          <w:sz w:val="20"/>
          <w:szCs w:val="21"/>
          <w:lang w:eastAsia="ja-JP"/>
        </w:rPr>
        <w:t>法域を</w:t>
      </w:r>
      <w:r w:rsidRPr="00F46EF2">
        <w:rPr>
          <w:rFonts w:ascii="Times New Roman" w:eastAsia="ＭＳ Ｐ明朝" w:hAnsi="Times New Roman"/>
          <w:sz w:val="20"/>
          <w:szCs w:val="21"/>
          <w:lang w:eastAsia="ja-JP"/>
        </w:rPr>
        <w:t>問わず最も一般的な方法であることが確認されている</w:t>
      </w:r>
      <w:r w:rsidRPr="00F46EF2">
        <w:rPr>
          <w:rFonts w:ascii="Times New Roman" w:eastAsia="ＭＳ Ｐ明朝" w:hAnsi="Times New Roman"/>
          <w:sz w:val="20"/>
          <w:szCs w:val="21"/>
          <w:lang w:eastAsia="ja-JP"/>
        </w:rPr>
        <w:t>[59,60]</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3B520A"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&lt;EndNote&gt;&lt;Cite&gt;&lt;Author&gt;Campillo-Artero&lt;/Author&gt;&lt;Year&gt;2020&lt;/Year&gt;&lt;RecNum&gt;130&lt;/RecNum&gt;&lt;DisplayText&gt;[59, 60]&lt;/DisplayText&gt;&lt;record&gt;&lt;rec-number&gt;130&lt;/rec-number&gt;&lt;foreign-keys&gt;&lt;key app="EN" db-id="z25xddsz659sshedpdu5pda3dswx20f99sf9" timestamp="1692002023"&gt;130&lt;/key&gt;&lt;/foreign-keys&gt;&lt;ref-type name="Journal Article"&gt;17&lt;/ref-type&gt;&lt;contributors&gt;&lt;authors&gt;&lt;author&gt;Campillo-Artero, Carlos&lt;/author&gt;&lt;author&gt;Puig-Junoy, Jaume&lt;/author&gt;&lt;author&gt;Segú-Tolsa, José Luis&lt;/author&gt;&lt;author&gt;Trapero-Bertran, Marta&lt;/author&gt;&lt;/authors&gt;&lt;/contributors&gt;&lt;titles&gt;&lt;title&gt;Price models for multi-indication drugs: a systematic review&lt;/title&gt;&lt;secondary-title&gt;Applied health economics and health policy&lt;/secondary-title&gt;&lt;/titles&gt;&lt;periodical&gt;&lt;full-title&gt;Applied Health Economics and Health Policy&lt;/full-title&gt;&lt;/periodical&gt;&lt;pages&gt;47-56&lt;/pages&gt;&lt;volume&gt;18&lt;/volume&gt;&lt;dates&gt;&lt;year&gt;2020&lt;/year&gt;&lt;/dates&gt;&lt;isbn&gt;1175-5652&lt;/isbn&gt;&lt;urls&gt;&lt;/urls&gt;&lt;/record&gt;&lt;/Cite&gt;&lt;Cite&gt;&lt;Author&gt;Michaeli&lt;/Author&gt;&lt;Year&gt;2022&lt;/Year&gt;&lt;RecNum&gt;191&lt;/RecNum&gt;&lt;record&gt;&lt;rec-number&gt;191&lt;/rec-number&gt;&lt;foreign-keys&gt;&lt;key app="EN" db-id="z25xddsz659sshedpdu5pda3dswx20f99sf9" timestamp="1692002023"&gt;191&lt;/key&gt;&lt;/foreign-keys&gt;&lt;ref-type name="Journal Article"&gt;17&lt;/ref-type&gt;&lt;contributors&gt;&lt;authors&gt;&lt;author&gt;Michaeli, Daniel Tobias&lt;/author&gt;&lt;author&gt;Mills, Mackenzie&lt;/author&gt;&lt;author&gt;Kanavos, Panos&lt;/author&gt;&lt;/authors&gt;&lt;/contributors&gt;&lt;titles&gt;&lt;title&gt;Value and price of multi-indication cancer drugs in the USA, Germany, France, England, Canada, Australia, and Scotland&lt;/title&gt;&lt;secondary-title&gt;Applied Health Economics and Health Policy&lt;/secondary-title&gt;&lt;/titles&gt;&lt;periodical&gt;&lt;full-title&gt;Applied Health Economics and Health Policy&lt;/full-title&gt;&lt;/periodical&gt;&lt;pages&gt;757-768&lt;/pages&gt;&lt;volume&gt;20&lt;/volume&gt;&lt;number&gt;5&lt;/number&gt;&lt;dates&gt;&lt;year&gt;2022&lt;/year&gt;&lt;/dates&gt;&lt;isbn&gt;1175-5652&lt;/isbn&gt;&lt;urls&gt;&lt;/urls&gt;&lt;/record&gt;&lt;/Cite&gt;&lt;/EndNote&gt;</w:instrText>
      </w:r>
      <w:r w:rsidR="003B520A"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rPr>
        <w:t>[59, 60]</w:t>
      </w:r>
      <w:r w:rsidR="003B520A" w:rsidRPr="00F46EF2">
        <w:rPr>
          <w:rFonts w:ascii="Times New Roman" w:eastAsia="ＭＳ Ｐ明朝" w:hAnsi="Times New Roman"/>
          <w:sz w:val="20"/>
          <w:szCs w:val="21"/>
        </w:rPr>
        <w:fldChar w:fldCharType="end"/>
      </w:r>
      <w:r w:rsidR="00D62FA0" w:rsidRPr="00F46EF2">
        <w:rPr>
          <w:rFonts w:ascii="Times New Roman" w:eastAsia="ＭＳ Ｐ明朝" w:hAnsi="Times New Roman"/>
          <w:sz w:val="20"/>
          <w:szCs w:val="21"/>
        </w:rPr>
        <w:t xml:space="preserve">. </w:t>
      </w:r>
    </w:p>
    <w:p w14:paraId="70835C90" w14:textId="77777777" w:rsidR="00FF745D" w:rsidRPr="00F46EF2" w:rsidRDefault="00000000">
      <w:pPr>
        <w:pStyle w:val="NbrHeading2"/>
        <w:rPr>
          <w:rFonts w:ascii="Times New Roman" w:eastAsia="ＭＳ Ｐ明朝" w:hAnsi="Times New Roman" w:cs="Times New Roman"/>
          <w:sz w:val="24"/>
          <w:szCs w:val="22"/>
          <w:lang w:eastAsia="ja-JP"/>
        </w:rPr>
      </w:pPr>
      <w:bookmarkStart w:id="33" w:name="_Toc161997092"/>
      <w:r w:rsidRPr="00F46EF2">
        <w:rPr>
          <w:rFonts w:ascii="Times New Roman" w:eastAsia="ＭＳ Ｐ明朝" w:hAnsi="Times New Roman" w:cs="Times New Roman"/>
          <w:sz w:val="24"/>
          <w:szCs w:val="22"/>
          <w:lang w:eastAsia="ja-JP"/>
        </w:rPr>
        <w:lastRenderedPageBreak/>
        <w:t>パート</w:t>
      </w:r>
      <w:r w:rsidRPr="00F46EF2">
        <w:rPr>
          <w:rFonts w:ascii="Times New Roman" w:eastAsia="ＭＳ Ｐ明朝" w:hAnsi="Times New Roman" w:cs="Times New Roman"/>
          <w:sz w:val="24"/>
          <w:szCs w:val="22"/>
          <w:lang w:eastAsia="ja-JP"/>
        </w:rPr>
        <w:t>3</w:t>
      </w:r>
      <w:r w:rsidR="004F3A16" w:rsidRPr="00F46EF2">
        <w:rPr>
          <w:rFonts w:ascii="Times New Roman" w:eastAsia="ＭＳ Ｐ明朝" w:hAnsi="Times New Roman" w:cs="Times New Roman"/>
          <w:sz w:val="24"/>
          <w:szCs w:val="22"/>
          <w:lang w:eastAsia="ja-JP"/>
        </w:rPr>
        <w:t>：オーストラリアおよび国際的な経済評価プロセスと方法論に対する最近の改革</w:t>
      </w:r>
      <w:bookmarkEnd w:id="33"/>
    </w:p>
    <w:p w14:paraId="7A82E251"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2020</w:t>
      </w:r>
      <w:r w:rsidRPr="00F46EF2">
        <w:rPr>
          <w:rFonts w:ascii="Times New Roman" w:eastAsia="ＭＳ Ｐ明朝" w:hAnsi="Times New Roman"/>
          <w:sz w:val="20"/>
          <w:szCs w:val="21"/>
          <w:lang w:eastAsia="ja-JP"/>
        </w:rPr>
        <w:t>年以降、</w:t>
      </w:r>
      <w:r w:rsidRPr="00F46EF2">
        <w:rPr>
          <w:rFonts w:ascii="Times New Roman" w:eastAsia="ＭＳ Ｐ明朝" w:hAnsi="Times New Roman"/>
          <w:sz w:val="20"/>
          <w:szCs w:val="21"/>
          <w:lang w:eastAsia="ja-JP"/>
        </w:rPr>
        <w:t>10</w:t>
      </w:r>
      <w:r w:rsidRPr="00F46EF2">
        <w:rPr>
          <w:rFonts w:ascii="Times New Roman" w:eastAsia="ＭＳ Ｐ明朝" w:hAnsi="Times New Roman"/>
          <w:sz w:val="20"/>
          <w:szCs w:val="21"/>
          <w:lang w:eastAsia="ja-JP"/>
        </w:rPr>
        <w:t>機関がその手法とプロセスガイドラインを更新している（オーストラリア、</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MSAC</w:t>
      </w:r>
      <w:r w:rsidRPr="00F46EF2">
        <w:rPr>
          <w:rFonts w:ascii="Times New Roman" w:eastAsia="ＭＳ Ｐ明朝" w:hAnsi="Times New Roman"/>
          <w:sz w:val="20"/>
          <w:szCs w:val="21"/>
          <w:lang w:eastAsia="ja-JP"/>
        </w:rPr>
        <w:t>、イングランド・ウェールズ、</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、スコットランド、</w:t>
      </w:r>
      <w:r w:rsidRPr="00F46EF2">
        <w:rPr>
          <w:rFonts w:ascii="Times New Roman" w:eastAsia="ＭＳ Ｐ明朝" w:hAnsi="Times New Roman"/>
          <w:sz w:val="20"/>
          <w:szCs w:val="21"/>
          <w:lang w:eastAsia="ja-JP"/>
        </w:rPr>
        <w:t>2020</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、ニュージーランド、</w:t>
      </w:r>
      <w:r w:rsidRPr="00F46EF2">
        <w:rPr>
          <w:rFonts w:ascii="Times New Roman" w:eastAsia="ＭＳ Ｐ明朝" w:hAnsi="Times New Roman"/>
          <w:sz w:val="20"/>
          <w:szCs w:val="21"/>
          <w:lang w:eastAsia="ja-JP"/>
        </w:rPr>
        <w:t>2020</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PHARMAC</w:t>
      </w:r>
      <w:r w:rsidRPr="00F46EF2">
        <w:rPr>
          <w:rFonts w:ascii="Times New Roman" w:eastAsia="ＭＳ Ｐ明朝" w:hAnsi="Times New Roman"/>
          <w:sz w:val="20"/>
          <w:szCs w:val="21"/>
          <w:lang w:eastAsia="ja-JP"/>
        </w:rPr>
        <w:t>、フランス、</w:t>
      </w:r>
      <w:r w:rsidRPr="00F46EF2">
        <w:rPr>
          <w:rFonts w:ascii="Times New Roman" w:eastAsia="ＭＳ Ｐ明朝" w:hAnsi="Times New Roman"/>
          <w:sz w:val="20"/>
          <w:szCs w:val="21"/>
          <w:lang w:eastAsia="ja-JP"/>
        </w:rPr>
        <w:t>2020</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HAS</w:t>
      </w:r>
      <w:r w:rsidRPr="00F46EF2">
        <w:rPr>
          <w:rFonts w:ascii="Times New Roman" w:eastAsia="ＭＳ Ｐ明朝" w:hAnsi="Times New Roman"/>
          <w:sz w:val="20"/>
          <w:szCs w:val="21"/>
          <w:lang w:eastAsia="ja-JP"/>
        </w:rPr>
        <w:t>、ドイツ、</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IQWiG</w:t>
      </w:r>
      <w:r w:rsidRPr="00F46EF2">
        <w:rPr>
          <w:rFonts w:ascii="Times New Roman" w:eastAsia="ＭＳ Ｐ明朝" w:hAnsi="Times New Roman"/>
          <w:sz w:val="20"/>
          <w:szCs w:val="21"/>
          <w:lang w:eastAsia="ja-JP"/>
        </w:rPr>
        <w:t>、ノルウェー、</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NIPH</w:t>
      </w:r>
      <w:r w:rsidRPr="00F46EF2">
        <w:rPr>
          <w:rFonts w:ascii="Times New Roman" w:eastAsia="ＭＳ Ｐ明朝" w:hAnsi="Times New Roman"/>
          <w:sz w:val="20"/>
          <w:szCs w:val="21"/>
          <w:lang w:eastAsia="ja-JP"/>
        </w:rPr>
        <w:t>、シンガポール、</w:t>
      </w:r>
      <w:r w:rsidRPr="00F46EF2">
        <w:rPr>
          <w:rFonts w:ascii="Times New Roman" w:eastAsia="ＭＳ Ｐ明朝" w:hAnsi="Times New Roman"/>
          <w:sz w:val="20"/>
          <w:szCs w:val="21"/>
          <w:lang w:eastAsia="ja-JP"/>
        </w:rPr>
        <w:t>2021</w:t>
      </w:r>
      <w:r w:rsidR="00B23C7C" w:rsidRPr="00F46EF2">
        <w:rPr>
          <w:rFonts w:ascii="Times New Roman" w:eastAsia="ＭＳ Ｐ明朝" w:hAnsi="Times New Roman"/>
          <w:sz w:val="20"/>
          <w:szCs w:val="21"/>
          <w:lang w:eastAsia="ja-JP"/>
        </w:rPr>
        <w:t>～</w:t>
      </w:r>
      <w:r w:rsidR="00B23C7C" w:rsidRPr="00F46EF2">
        <w:rPr>
          <w:rFonts w:ascii="Times New Roman" w:eastAsia="ＭＳ Ｐ明朝" w:hAnsi="Times New Roman"/>
          <w:sz w:val="20"/>
          <w:szCs w:val="21"/>
          <w:lang w:eastAsia="ja-JP"/>
        </w:rPr>
        <w:t>2023</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ACE</w:t>
      </w:r>
      <w:r w:rsidRPr="00F46EF2">
        <w:rPr>
          <w:rFonts w:ascii="Times New Roman" w:eastAsia="ＭＳ Ｐ明朝" w:hAnsi="Times New Roman"/>
          <w:sz w:val="20"/>
          <w:szCs w:val="21"/>
          <w:lang w:eastAsia="ja-JP"/>
        </w:rPr>
        <w:t>、韓国、</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HIRA</w:t>
      </w:r>
      <w:r w:rsidRPr="00F46EF2">
        <w:rPr>
          <w:rFonts w:ascii="Times New Roman" w:eastAsia="ＭＳ Ｐ明朝" w:hAnsi="Times New Roman"/>
          <w:sz w:val="20"/>
          <w:szCs w:val="21"/>
          <w:lang w:eastAsia="ja-JP"/>
        </w:rPr>
        <w:t>、日本、</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C2H</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HTA</w:t>
      </w:r>
      <w:r w:rsidRPr="00F46EF2">
        <w:rPr>
          <w:rFonts w:ascii="Times New Roman" w:eastAsia="ＭＳ Ｐ明朝" w:hAnsi="Times New Roman"/>
          <w:sz w:val="20"/>
          <w:szCs w:val="21"/>
          <w:lang w:eastAsia="ja-JP"/>
        </w:rPr>
        <w:t>の方法論や検討事項に関するこれらの変更の多くは、本報告書の第</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部および第</w:t>
      </w:r>
      <w:r w:rsidRPr="00F46EF2">
        <w:rPr>
          <w:rFonts w:ascii="Times New Roman" w:eastAsia="ＭＳ Ｐ明朝" w:hAnsi="Times New Roman"/>
          <w:sz w:val="20"/>
          <w:szCs w:val="21"/>
          <w:lang w:eastAsia="ja-JP"/>
        </w:rPr>
        <w:t>2</w:t>
      </w:r>
      <w:r w:rsidRPr="00F46EF2">
        <w:rPr>
          <w:rFonts w:ascii="Times New Roman" w:eastAsia="ＭＳ Ｐ明朝" w:hAnsi="Times New Roman"/>
          <w:sz w:val="20"/>
          <w:szCs w:val="21"/>
          <w:lang w:eastAsia="ja-JP"/>
        </w:rPr>
        <w:t>部で述べたとおりである。これらの機関によるガイダンスは、医薬品やワクチンを含む医療技術だけでなく、共依存技術も対象としている。しかし、これらのガイドラインは、細胞治療や遺伝子治療のような高度に専門化された治療法についてはほとんど、あるいは全く言及していない</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0A312DBF"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スウェーデンの</w:t>
      </w:r>
      <w:r w:rsidRPr="00F46EF2">
        <w:rPr>
          <w:rFonts w:ascii="Times New Roman" w:eastAsia="ＭＳ Ｐ明朝" w:hAnsi="Times New Roman"/>
          <w:sz w:val="20"/>
          <w:szCs w:val="21"/>
          <w:lang w:eastAsia="ja-JP"/>
        </w:rPr>
        <w:t>TLV</w:t>
      </w:r>
      <w:r w:rsidRPr="00F46EF2">
        <w:rPr>
          <w:rFonts w:ascii="Times New Roman" w:eastAsia="ＭＳ Ｐ明朝" w:hAnsi="Times New Roman"/>
          <w:sz w:val="20"/>
          <w:szCs w:val="21"/>
          <w:lang w:eastAsia="ja-JP"/>
        </w:rPr>
        <w:t>のみが、精密医薬品と</w:t>
      </w:r>
      <w:r w:rsidRPr="00F46EF2">
        <w:rPr>
          <w:rFonts w:ascii="Times New Roman" w:eastAsia="ＭＳ Ｐ明朝" w:hAnsi="Times New Roman"/>
          <w:sz w:val="20"/>
          <w:szCs w:val="21"/>
          <w:lang w:eastAsia="ja-JP"/>
        </w:rPr>
        <w:t>ATMP</w:t>
      </w:r>
      <w:r w:rsidRPr="00F46EF2">
        <w:rPr>
          <w:rFonts w:ascii="Times New Roman" w:eastAsia="ＭＳ Ｐ明朝" w:hAnsi="Times New Roman"/>
          <w:sz w:val="20"/>
          <w:szCs w:val="21"/>
          <w:lang w:eastAsia="ja-JP"/>
        </w:rPr>
        <w:t>の価値を特定する方法に関するガイダンスを発表している（</w:t>
      </w:r>
      <w:r w:rsidRPr="00F46EF2">
        <w:rPr>
          <w:rFonts w:ascii="Times New Roman" w:eastAsia="ＭＳ Ｐ明朝" w:hAnsi="Times New Roman"/>
          <w:sz w:val="20"/>
          <w:szCs w:val="21"/>
          <w:lang w:eastAsia="ja-JP"/>
        </w:rPr>
        <w:t>2021</w:t>
      </w:r>
      <w:r w:rsidRPr="00F46EF2">
        <w:rPr>
          <w:rFonts w:ascii="Times New Roman" w:eastAsia="ＭＳ Ｐ明朝" w:hAnsi="Times New Roman"/>
          <w:sz w:val="20"/>
          <w:szCs w:val="21"/>
          <w:lang w:eastAsia="ja-JP"/>
        </w:rPr>
        <w:t>年と</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は現在、細胞・遺伝子治療、人工知能、ゲノミクスを対象としたプロセスや手法の開発も計画している。しかし、これらの技術の</w:t>
      </w:r>
      <w:r w:rsidR="00E723E9" w:rsidRPr="00F46EF2">
        <w:rPr>
          <w:rFonts w:ascii="Times New Roman" w:eastAsia="ＭＳ Ｐ明朝" w:hAnsi="Times New Roman"/>
          <w:sz w:val="20"/>
          <w:szCs w:val="21"/>
          <w:lang w:eastAsia="ja-JP"/>
        </w:rPr>
        <w:t>HTA</w:t>
      </w:r>
      <w:r w:rsidR="00E723E9" w:rsidRPr="00F46EF2">
        <w:rPr>
          <w:rFonts w:ascii="Times New Roman" w:eastAsia="ＭＳ Ｐ明朝" w:hAnsi="Times New Roman"/>
          <w:sz w:val="20"/>
          <w:szCs w:val="21"/>
          <w:lang w:eastAsia="ja-JP"/>
        </w:rPr>
        <w:t>手法に関する</w:t>
      </w:r>
      <w:r w:rsidRPr="00F46EF2">
        <w:rPr>
          <w:rFonts w:ascii="Times New Roman" w:eastAsia="ＭＳ Ｐ明朝" w:hAnsi="Times New Roman"/>
          <w:sz w:val="20"/>
          <w:szCs w:val="21"/>
          <w:lang w:eastAsia="ja-JP"/>
        </w:rPr>
        <w:t>ガイダンスはまだ</w:t>
      </w:r>
      <w:r w:rsidR="00E723E9" w:rsidRPr="00F46EF2">
        <w:rPr>
          <w:rFonts w:ascii="Times New Roman" w:eastAsia="ＭＳ Ｐ明朝" w:hAnsi="Times New Roman"/>
          <w:sz w:val="20"/>
          <w:szCs w:val="21"/>
          <w:lang w:eastAsia="ja-JP"/>
        </w:rPr>
        <w:t>発行されていない</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p>
    <w:p w14:paraId="1BB4B6A8" w14:textId="77777777" w:rsidR="00FF745D" w:rsidRPr="00F46EF2" w:rsidRDefault="00E81421">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2009</w:t>
      </w:r>
      <w:r w:rsidRPr="00F46EF2">
        <w:rPr>
          <w:rFonts w:ascii="Times New Roman" w:eastAsia="ＭＳ Ｐ明朝" w:hAnsi="Times New Roman"/>
          <w:sz w:val="20"/>
          <w:szCs w:val="21"/>
          <w:lang w:eastAsia="ja-JP"/>
        </w:rPr>
        <w:t>年以降、</w:t>
      </w: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と</w:t>
      </w:r>
      <w:r w:rsidRPr="00F46EF2">
        <w:rPr>
          <w:rFonts w:ascii="Times New Roman" w:eastAsia="ＭＳ Ｐ明朝" w:hAnsi="Times New Roman"/>
          <w:sz w:val="20"/>
          <w:szCs w:val="21"/>
          <w:lang w:eastAsia="ja-JP"/>
        </w:rPr>
        <w:t>MBS</w:t>
      </w:r>
      <w:r w:rsidRPr="00F46EF2">
        <w:rPr>
          <w:rFonts w:ascii="Times New Roman" w:eastAsia="ＭＳ Ｐ明朝" w:hAnsi="Times New Roman"/>
          <w:sz w:val="20"/>
          <w:szCs w:val="21"/>
          <w:lang w:eastAsia="ja-JP"/>
        </w:rPr>
        <w:t>の</w:t>
      </w:r>
      <w:r w:rsidR="004F3A16" w:rsidRPr="00F46EF2">
        <w:rPr>
          <w:rFonts w:ascii="Times New Roman" w:eastAsia="ＭＳ Ｐ明朝" w:hAnsi="Times New Roman"/>
          <w:sz w:val="20"/>
          <w:szCs w:val="21"/>
          <w:lang w:eastAsia="ja-JP"/>
        </w:rPr>
        <w:t>償還のための規制プロセスや</w:t>
      </w:r>
      <w:r w:rsidR="004F3A16" w:rsidRPr="00F46EF2">
        <w:rPr>
          <w:rFonts w:ascii="Times New Roman" w:eastAsia="ＭＳ Ｐ明朝" w:hAnsi="Times New Roman"/>
          <w:sz w:val="20"/>
          <w:szCs w:val="21"/>
          <w:lang w:eastAsia="ja-JP"/>
        </w:rPr>
        <w:t>HTA</w:t>
      </w:r>
      <w:r w:rsidR="004F3A16" w:rsidRPr="00F46EF2">
        <w:rPr>
          <w:rFonts w:ascii="Times New Roman" w:eastAsia="ＭＳ Ｐ明朝" w:hAnsi="Times New Roman"/>
          <w:sz w:val="20"/>
          <w:szCs w:val="21"/>
          <w:lang w:eastAsia="ja-JP"/>
        </w:rPr>
        <w:t>パスウェイに関連する</w:t>
      </w:r>
      <w:r w:rsidR="00000000" w:rsidRPr="00F46EF2">
        <w:rPr>
          <w:rFonts w:ascii="Times New Roman" w:eastAsia="ＭＳ Ｐ明朝" w:hAnsi="Times New Roman"/>
          <w:sz w:val="20"/>
          <w:szCs w:val="21"/>
          <w:lang w:eastAsia="ja-JP"/>
        </w:rPr>
        <w:t>多くの</w:t>
      </w:r>
      <w:r w:rsidR="004F3A16" w:rsidRPr="00F46EF2">
        <w:rPr>
          <w:rFonts w:ascii="Times New Roman" w:eastAsia="ＭＳ Ｐ明朝" w:hAnsi="Times New Roman"/>
          <w:sz w:val="20"/>
          <w:szCs w:val="21"/>
          <w:lang w:eastAsia="ja-JP"/>
        </w:rPr>
        <w:t>改革イニシアチブが行われてきた</w:t>
      </w:r>
      <w:r w:rsidR="005115AD" w:rsidRPr="00F46EF2">
        <w:rPr>
          <w:rFonts w:ascii="Times New Roman" w:eastAsia="ＭＳ Ｐ明朝" w:hAnsi="Times New Roman"/>
          <w:sz w:val="20"/>
          <w:szCs w:val="21"/>
          <w:lang w:eastAsia="ja-JP"/>
        </w:rPr>
        <w:t>。</w:t>
      </w:r>
      <w:r w:rsidR="001A5230" w:rsidRPr="00F46EF2">
        <w:rPr>
          <w:rFonts w:ascii="Times New Roman" w:eastAsia="ＭＳ Ｐ明朝" w:hAnsi="Times New Roman"/>
          <w:sz w:val="20"/>
          <w:szCs w:val="21"/>
          <w:lang w:eastAsia="ja-JP"/>
        </w:rPr>
        <w:t>2010</w:t>
      </w:r>
      <w:r w:rsidR="001A5230" w:rsidRPr="00F46EF2">
        <w:rPr>
          <w:rFonts w:ascii="Times New Roman" w:eastAsia="ＭＳ Ｐ明朝" w:hAnsi="Times New Roman"/>
          <w:sz w:val="20"/>
          <w:szCs w:val="21"/>
          <w:lang w:eastAsia="ja-JP"/>
        </w:rPr>
        <w:t>年には</w:t>
      </w:r>
      <w:r w:rsidR="00324828" w:rsidRPr="00F46EF2">
        <w:rPr>
          <w:rFonts w:ascii="Times New Roman" w:eastAsia="ＭＳ Ｐ明朝" w:hAnsi="Times New Roman"/>
          <w:sz w:val="20"/>
          <w:szCs w:val="21"/>
          <w:lang w:eastAsia="ja-JP"/>
        </w:rPr>
        <w:t>正式なプロセスとしてマネージド・エントリー・スキーム（</w:t>
      </w:r>
      <w:r w:rsidR="00324828" w:rsidRPr="00F46EF2">
        <w:rPr>
          <w:rFonts w:ascii="Times New Roman" w:eastAsia="ＭＳ Ｐ明朝" w:hAnsi="Times New Roman"/>
          <w:sz w:val="20"/>
          <w:szCs w:val="21"/>
          <w:lang w:eastAsia="ja-JP"/>
        </w:rPr>
        <w:t>MES</w:t>
      </w:r>
      <w:r w:rsidR="009A58B4" w:rsidRPr="00F46EF2">
        <w:rPr>
          <w:rFonts w:ascii="Times New Roman" w:eastAsia="ＭＳ Ｐ明朝" w:hAnsi="Times New Roman"/>
          <w:sz w:val="20"/>
          <w:szCs w:val="21"/>
          <w:lang w:eastAsia="ja-JP"/>
        </w:rPr>
        <w:t>）が導入された。</w:t>
      </w:r>
      <w:r w:rsidR="005115AD" w:rsidRPr="00F46EF2">
        <w:rPr>
          <w:rFonts w:ascii="Times New Roman" w:eastAsia="ＭＳ Ｐ明朝" w:hAnsi="Times New Roman"/>
          <w:sz w:val="20"/>
          <w:szCs w:val="21"/>
          <w:lang w:eastAsia="ja-JP"/>
        </w:rPr>
        <w:t>MES</w:t>
      </w:r>
      <w:r w:rsidR="005115AD" w:rsidRPr="00F46EF2">
        <w:rPr>
          <w:rFonts w:ascii="Times New Roman" w:eastAsia="ＭＳ Ｐ明朝" w:hAnsi="Times New Roman"/>
          <w:sz w:val="20"/>
          <w:szCs w:val="21"/>
          <w:lang w:eastAsia="ja-JP"/>
        </w:rPr>
        <w:t>の</w:t>
      </w:r>
      <w:r w:rsidR="004F3A16" w:rsidRPr="00F46EF2">
        <w:rPr>
          <w:rFonts w:ascii="Times New Roman" w:eastAsia="ＭＳ Ｐ明朝" w:hAnsi="Times New Roman"/>
          <w:sz w:val="20"/>
          <w:szCs w:val="21"/>
          <w:lang w:eastAsia="ja-JP"/>
        </w:rPr>
        <w:t>目的は</w:t>
      </w:r>
      <w:r w:rsidR="005115AD" w:rsidRPr="00F46EF2">
        <w:rPr>
          <w:rFonts w:ascii="Times New Roman" w:eastAsia="ＭＳ Ｐ明朝" w:hAnsi="Times New Roman"/>
          <w:sz w:val="20"/>
          <w:szCs w:val="21"/>
          <w:lang w:eastAsia="ja-JP"/>
        </w:rPr>
        <w:t>、</w:t>
      </w:r>
      <w:r w:rsidR="004F3A16" w:rsidRPr="00F46EF2">
        <w:rPr>
          <w:rFonts w:ascii="Times New Roman" w:eastAsia="ＭＳ Ｐ明朝" w:hAnsi="Times New Roman"/>
          <w:sz w:val="20"/>
          <w:szCs w:val="21"/>
          <w:lang w:eastAsia="ja-JP"/>
        </w:rPr>
        <w:t>さらなるエビデンスの提供を条件に医薬品を償還することで、患者アクセスを改善することであった。オーストラリアにおける</w:t>
      </w:r>
      <w:r w:rsidR="004F3A16" w:rsidRPr="00F46EF2">
        <w:rPr>
          <w:rFonts w:ascii="Times New Roman" w:eastAsia="ＭＳ Ｐ明朝" w:hAnsi="Times New Roman"/>
          <w:sz w:val="20"/>
          <w:szCs w:val="21"/>
          <w:lang w:eastAsia="ja-JP"/>
        </w:rPr>
        <w:t>MES</w:t>
      </w:r>
      <w:r w:rsidR="004F3A16" w:rsidRPr="00F46EF2">
        <w:rPr>
          <w:rFonts w:ascii="Times New Roman" w:eastAsia="ＭＳ Ｐ明朝" w:hAnsi="Times New Roman"/>
          <w:sz w:val="20"/>
          <w:szCs w:val="21"/>
          <w:lang w:eastAsia="ja-JP"/>
        </w:rPr>
        <w:t>の導入率は</w:t>
      </w:r>
      <w:r w:rsidR="00D63A98" w:rsidRPr="00F46EF2">
        <w:rPr>
          <w:rFonts w:ascii="Times New Roman" w:eastAsia="ＭＳ Ｐ明朝" w:hAnsi="Times New Roman"/>
          <w:sz w:val="20"/>
          <w:szCs w:val="21"/>
          <w:lang w:eastAsia="ja-JP"/>
        </w:rPr>
        <w:t>低い</w:t>
      </w:r>
      <w:r w:rsidR="00D63A98" w:rsidRPr="00F46EF2">
        <w:rPr>
          <w:rFonts w:ascii="Times New Roman" w:eastAsia="ＭＳ Ｐ明朝" w:hAnsi="Times New Roman"/>
          <w:sz w:val="20"/>
          <w:szCs w:val="21"/>
          <w:lang w:eastAsia="ja-JP"/>
        </w:rPr>
        <w:t>[61]</w:t>
      </w:r>
      <w:r w:rsidR="00D63A98" w:rsidRPr="00F46EF2">
        <w:rPr>
          <w:rFonts w:ascii="Times New Roman" w:eastAsia="ＭＳ Ｐ明朝" w:hAnsi="Times New Roman"/>
          <w:sz w:val="20"/>
          <w:szCs w:val="21"/>
          <w:lang w:eastAsia="ja-JP"/>
        </w:rPr>
        <w:t>。</w:t>
      </w:r>
      <w:r w:rsidR="00D63A98" w:rsidRPr="00F46EF2">
        <w:rPr>
          <w:rFonts w:ascii="Times New Roman" w:eastAsia="ＭＳ Ｐ明朝" w:hAnsi="Times New Roman"/>
          <w:sz w:val="20"/>
          <w:szCs w:val="21"/>
          <w:lang w:eastAsia="ja-JP"/>
        </w:rPr>
        <w:t xml:space="preserve"> </w:t>
      </w:r>
      <w:r w:rsidR="00D63A98" w:rsidRPr="00F46EF2">
        <w:rPr>
          <w:rFonts w:ascii="Times New Roman" w:eastAsia="ＭＳ Ｐ明朝" w:hAnsi="Times New Roman"/>
          <w:sz w:val="20"/>
          <w:szCs w:val="21"/>
          <w:lang w:eastAsia="en-US"/>
        </w:rPr>
        <w:fldChar w:fldCharType="begin"/>
      </w:r>
      <w:r w:rsidR="005E33D6" w:rsidRPr="00F46EF2">
        <w:rPr>
          <w:rFonts w:ascii="Times New Roman" w:eastAsia="ＭＳ Ｐ明朝" w:hAnsi="Times New Roman"/>
          <w:sz w:val="20"/>
          <w:szCs w:val="21"/>
          <w:lang w:eastAsia="ja-JP"/>
        </w:rPr>
        <w:instrText xml:space="preserve"> ADDIN EN.CITE &lt;EndNote&gt;&lt;Cite&gt;&lt;Author&gt;Tuffaha&lt;/Author&gt;&lt;Year&gt;2018&lt;/Year&gt;&lt;RecNum&gt;356&lt;/RecNum&gt;&lt;DisplayText&gt;[61]&lt;/DisplayText&gt;&lt;record&gt;&lt;rec-number&gt;356&lt;/rec-number&gt;&lt;foreign-keys&gt;&lt;key app="EN" db-id="z25xddsz659sshedpdu5pda3dswx20f99sf9" timestamp="1695382010"&gt;356&lt;/key&gt;&lt;/foreign-keys&gt;&lt;ref-type name="Journal Article"&gt;17&lt;/ref-type&gt;&lt;contributors&gt;&lt;authors&gt;&lt;author&gt;Tuffaha, H. W.&lt;/author&gt;&lt;author&gt;Scuffham, P. A.&lt;/author&gt;&lt;/authors&gt;&lt;/contributors&gt;&lt;auth-address&gt;Menzies Health Institute Queensland, Griffith University, Gold Coast, QLD, Australia. haitham.tuffaha@griffith.edu.au.&amp;#xD;Centre for Applied Health Economics, School of Medicine, Griffith University, Nathan, QLD, 4111, Australia. haitham.tuffaha@griffith.edu.au.&amp;#xD;Menzies Health Institute Queensland, Griffith University, Gold Coast, QLD, Australia.&amp;#xD;Centre for Applied Health Economics, School of Medicine, Griffith University, Nathan, QLD, 4111, Australia.&lt;/auth-address&gt;&lt;titles&gt;&lt;title&gt;The Australian Managed Entry Scheme: Are We Getting it Right?&lt;/title&gt;&lt;secondary-title&gt;Pharmacoeconomics&lt;/secondary-title&gt;&lt;/titles&gt;&lt;periodical&gt;&lt;full-title&gt;Pharmacoeconomics&lt;/full-title&gt;&lt;abbr-1&gt;PharmacoEconomics&lt;/abbr-1&gt;&lt;/periodical&gt;&lt;pages&gt;555-565&lt;/pages&gt;&lt;volume&gt;36&lt;/volume&gt;&lt;number&gt;5&lt;/number&gt;&lt;edition&gt;2018/02/27&lt;/edition&gt;&lt;keywords&gt;&lt;keyword&gt;*Advisory Committees&lt;/keyword&gt;&lt;keyword&gt;Australia&lt;/keyword&gt;&lt;keyword&gt;Cost-Benefit Analysis/*statistics &amp;amp; numerical data&lt;/keyword&gt;&lt;keyword&gt;*Decision Making&lt;/keyword&gt;&lt;keyword&gt;Drug Costs/*statistics &amp;amp; numerical data&lt;/keyword&gt;&lt;keyword&gt;Health Services Accessibility/*economics&lt;/keyword&gt;&lt;keyword&gt;Humans&lt;/keyword&gt;&lt;keyword&gt;Reimbursement Mechanisms/*standards/statistics &amp;amp; numerical data&lt;/keyword&gt;&lt;/keywords&gt;&lt;dates&gt;&lt;year&gt;2018&lt;/year&gt;&lt;pub-dates&gt;&lt;date&gt;May&lt;/date&gt;&lt;/pub-dates&gt;&lt;/dates&gt;&lt;isbn&gt;1170-7690&lt;/isbn&gt;&lt;accession-num&gt;29478116&lt;/accession-num&gt;&lt;urls&gt;&lt;/urls&gt;&lt;electronic-resource-num&gt;10.1007/s40273-018-0633-6&lt;/electronic-resource-num&gt;&lt;remote-database-provider&gt;NLM&lt;/remote-database-provider&gt;&lt;language&gt;eng&lt;/language&gt;&lt;/record&gt;&lt;/Cite&gt;&lt;/EndNote&gt;</w:instrText>
      </w:r>
      <w:r w:rsidR="00D63A98" w:rsidRPr="00F46EF2">
        <w:rPr>
          <w:rFonts w:ascii="Times New Roman" w:eastAsia="ＭＳ Ｐ明朝" w:hAnsi="Times New Roman"/>
          <w:sz w:val="20"/>
          <w:szCs w:val="21"/>
          <w:lang w:eastAsia="en-US"/>
        </w:rPr>
        <w:fldChar w:fldCharType="separate"/>
      </w:r>
      <w:r w:rsidR="005E33D6" w:rsidRPr="00F46EF2">
        <w:rPr>
          <w:rFonts w:ascii="Times New Roman" w:eastAsia="ＭＳ Ｐ明朝" w:hAnsi="Times New Roman"/>
          <w:noProof/>
          <w:sz w:val="20"/>
          <w:szCs w:val="21"/>
          <w:lang w:eastAsia="ja-JP"/>
        </w:rPr>
        <w:t>[61]</w:t>
      </w:r>
      <w:r w:rsidR="00D63A98" w:rsidRPr="00F46EF2">
        <w:rPr>
          <w:rFonts w:ascii="Times New Roman" w:eastAsia="ＭＳ Ｐ明朝" w:hAnsi="Times New Roman"/>
          <w:sz w:val="20"/>
          <w:szCs w:val="21"/>
          <w:lang w:eastAsia="en-US"/>
        </w:rPr>
        <w:fldChar w:fldCharType="end"/>
      </w:r>
      <w:r w:rsidR="00D63A98" w:rsidRPr="00F46EF2">
        <w:rPr>
          <w:rFonts w:ascii="Times New Roman" w:eastAsia="ＭＳ Ｐ明朝" w:hAnsi="Times New Roman"/>
          <w:sz w:val="20"/>
          <w:szCs w:val="21"/>
          <w:lang w:eastAsia="ja-JP"/>
        </w:rPr>
        <w:t>.</w:t>
      </w:r>
      <w:proofErr w:type="spellStart"/>
      <w:r w:rsidR="00D63A98" w:rsidRPr="00F46EF2">
        <w:rPr>
          <w:rFonts w:ascii="Times New Roman" w:eastAsia="ＭＳ Ｐ明朝" w:hAnsi="Times New Roman"/>
          <w:sz w:val="20"/>
          <w:szCs w:val="21"/>
          <w:lang w:eastAsia="ja-JP"/>
        </w:rPr>
        <w:t>アウトカムに基づくマネージド・アグリーメントは、実際には困難であった</w:t>
      </w:r>
      <w:proofErr w:type="spellEnd"/>
      <w:r w:rsidR="00D63A98" w:rsidRPr="00F46EF2">
        <w:rPr>
          <w:rFonts w:ascii="Times New Roman" w:eastAsia="ＭＳ Ｐ明朝" w:hAnsi="Times New Roman"/>
          <w:sz w:val="20"/>
          <w:szCs w:val="21"/>
          <w:lang w:eastAsia="ja-JP"/>
        </w:rPr>
        <w:t>。</w:t>
      </w:r>
      <w:r w:rsidR="00D63A98" w:rsidRPr="00F46EF2">
        <w:rPr>
          <w:rFonts w:ascii="Times New Roman" w:eastAsia="ＭＳ Ｐ明朝" w:hAnsi="Times New Roman"/>
          <w:sz w:val="20"/>
          <w:szCs w:val="21"/>
          <w:lang w:eastAsia="ja-JP"/>
        </w:rPr>
        <w:t xml:space="preserve"> </w:t>
      </w:r>
      <w:r w:rsidR="00D63A98" w:rsidRPr="00F46EF2">
        <w:rPr>
          <w:rFonts w:ascii="Times New Roman" w:eastAsia="ＭＳ Ｐ明朝" w:hAnsi="Times New Roman"/>
          <w:sz w:val="20"/>
          <w:szCs w:val="21"/>
          <w:lang w:eastAsia="en-US"/>
        </w:rPr>
        <w:fldChar w:fldCharType="begin"/>
      </w:r>
      <w:r w:rsidR="005E33D6" w:rsidRPr="00F46EF2">
        <w:rPr>
          <w:rFonts w:ascii="Times New Roman" w:eastAsia="ＭＳ Ｐ明朝" w:hAnsi="Times New Roman"/>
          <w:sz w:val="20"/>
          <w:szCs w:val="21"/>
          <w:lang w:eastAsia="ja-JP"/>
        </w:rPr>
        <w:instrText xml:space="preserve"> ADDIN EN.CITE &lt;EndNote&gt;&lt;Cite&gt;&lt;Author&gt;Simoens&lt;/Author&gt;&lt;Year&gt;2022&lt;/Year&gt;&lt;RecNum&gt;96&lt;/RecNum&gt;&lt;DisplayText&gt;[62]&lt;/DisplayText&gt;&lt;record&gt;&lt;rec-number&gt;96&lt;/rec-number&gt;&lt;foreign-keys&gt;&lt;key app="EN" db-id="z25xddsz659sshedpdu5pda3dswx20f99sf9" timestamp="1692001886"&gt;96&lt;/key&gt;&lt;/foreign-keys&gt;&lt;ref-type name="Journal Article"&gt;17&lt;/ref-type&gt;&lt;contributors&gt;&lt;authors&gt;&lt;author&gt;Simoens, S.&lt;/author&gt;&lt;author&gt;De Groote, K.&lt;/author&gt;&lt;author&gt;Boersma, C.&lt;/author&gt;&lt;/authors&gt;&lt;/contributors&gt;&lt;auth-address&gt;Department of Pharmaceutical and Pharmacological Sciences, KU Leuven, Leuven, Belgium.&amp;#xD;Innosens, Brakel, Belgium.&amp;#xD;Health Ecore, Zeist, Netherlands.&amp;#xD;Open Universiteit, Heerlen, Netherlands.&amp;#xD;University Medical Center Groningen, University of Groningen, Groningen, Netherlands.&lt;/auth-address&gt;&lt;titles&gt;&lt;title&gt;Critical Reflections on Reimbursement and Access of Advanced Therapies&lt;/title&gt;&lt;secondary-title&gt;Front Pharmacol&lt;/secondary-title&gt;&lt;/titles&gt;&lt;periodical&gt;&lt;full-title&gt;Front Pharmacol&lt;/full-title&gt;&lt;/periodical&gt;&lt;pages&gt;771966&lt;/pages&gt;&lt;volume&gt;13&lt;/volume&gt;&lt;edition&gt;2022/06/07&lt;/edition&gt;&lt;keywords&gt;&lt;keyword&gt;advanced therapies&lt;/keyword&gt;&lt;keyword&gt;cost-effectiveness&lt;/keyword&gt;&lt;keyword&gt;managed entry agreements&lt;/keyword&gt;&lt;keyword&gt;market access&lt;/keyword&gt;&lt;keyword&gt;reimbursement&lt;/keyword&gt;&lt;keyword&gt;spread payments&lt;/keyword&gt;&lt;keyword&gt;study design, collection, analysis, interpretation of data, the writing of this&lt;/keyword&gt;&lt;keyword&gt;article or the decision to submit it for publication. All authors</w:instrText>
      </w:r>
      <w:r w:rsidR="005E33D6" w:rsidRPr="00F46EF2">
        <w:rPr>
          <w:rFonts w:ascii="Times New Roman" w:eastAsia="ＭＳ Ｐ明朝" w:hAnsi="Times New Roman"/>
          <w:sz w:val="20"/>
          <w:szCs w:val="21"/>
          <w:lang w:eastAsia="en-US"/>
        </w:rPr>
        <w:instrText xml:space="preserve"> declare no&lt;/keyword&gt;&lt;keyword&gt;other competing interests.&lt;/keyword&gt;&lt;/keywords&gt;&lt;dates&gt;&lt;year&gt;2022&lt;/year&gt;&lt;/dates&gt;&lt;isbn&gt;1663-9812 (Print)&amp;#xD;1663-9812&lt;/isbn&gt;&lt;accession-num&gt;35662719&lt;/accession-num&gt;&lt;urls&gt;&lt;/urls&gt;&lt;custom2&gt;PMC9157586&lt;/custom2&gt;&lt;electronic-resource-num&gt;10.3389/fphar.2022.771966&lt;/electronic-resource-num&gt;&lt;remote-database-provider&gt;NLM&lt;/remote-database-provider&gt;&lt;language&gt;eng&lt;/language&gt;&lt;/record&gt;&lt;/Cite&gt;&lt;/EndNote&gt;</w:instrText>
      </w:r>
      <w:r w:rsidR="00D63A98" w:rsidRPr="00F46EF2">
        <w:rPr>
          <w:rFonts w:ascii="Times New Roman" w:eastAsia="ＭＳ Ｐ明朝" w:hAnsi="Times New Roman"/>
          <w:sz w:val="20"/>
          <w:szCs w:val="21"/>
          <w:lang w:eastAsia="en-US"/>
        </w:rPr>
        <w:fldChar w:fldCharType="separate"/>
      </w:r>
      <w:r w:rsidR="005E33D6" w:rsidRPr="00F46EF2">
        <w:rPr>
          <w:rFonts w:ascii="Times New Roman" w:eastAsia="ＭＳ Ｐ明朝" w:hAnsi="Times New Roman"/>
          <w:noProof/>
          <w:sz w:val="20"/>
          <w:szCs w:val="21"/>
          <w:lang w:eastAsia="ja-JP"/>
        </w:rPr>
        <w:t>[62]</w:t>
      </w:r>
      <w:r w:rsidR="00D63A98" w:rsidRPr="00F46EF2">
        <w:rPr>
          <w:rFonts w:ascii="Times New Roman" w:eastAsia="ＭＳ Ｐ明朝" w:hAnsi="Times New Roman"/>
          <w:sz w:val="20"/>
          <w:szCs w:val="21"/>
          <w:lang w:eastAsia="en-US"/>
        </w:rPr>
        <w:fldChar w:fldCharType="end"/>
      </w:r>
      <w:r w:rsidR="00D63A98" w:rsidRPr="00F46EF2">
        <w:rPr>
          <w:rFonts w:ascii="Times New Roman" w:eastAsia="ＭＳ Ｐ明朝" w:hAnsi="Times New Roman"/>
          <w:sz w:val="20"/>
          <w:szCs w:val="21"/>
          <w:lang w:eastAsia="ja-JP"/>
        </w:rPr>
        <w:t>.</w:t>
      </w:r>
      <w:r w:rsidR="004F3A16" w:rsidRPr="00F46EF2">
        <w:rPr>
          <w:rFonts w:ascii="Times New Roman" w:eastAsia="ＭＳ Ｐ明朝" w:hAnsi="Times New Roman"/>
          <w:sz w:val="20"/>
          <w:szCs w:val="21"/>
          <w:lang w:eastAsia="ja-JP"/>
        </w:rPr>
        <w:t>TGA</w:t>
      </w:r>
      <w:r w:rsidR="004F3A16" w:rsidRPr="00F46EF2">
        <w:rPr>
          <w:rFonts w:ascii="Times New Roman" w:eastAsia="ＭＳ Ｐ明朝" w:hAnsi="Times New Roman"/>
          <w:sz w:val="20"/>
          <w:szCs w:val="21"/>
          <w:lang w:eastAsia="ja-JP"/>
        </w:rPr>
        <w:t>と</w:t>
      </w:r>
      <w:r w:rsidR="004F3A16" w:rsidRPr="00F46EF2">
        <w:rPr>
          <w:rFonts w:ascii="Times New Roman" w:eastAsia="ＭＳ Ｐ明朝" w:hAnsi="Times New Roman"/>
          <w:sz w:val="20"/>
          <w:szCs w:val="21"/>
          <w:lang w:eastAsia="ja-JP"/>
        </w:rPr>
        <w:t>PBAC</w:t>
      </w:r>
      <w:r w:rsidR="004F3A16" w:rsidRPr="00F46EF2">
        <w:rPr>
          <w:rFonts w:ascii="Times New Roman" w:eastAsia="ＭＳ Ｐ明朝" w:hAnsi="Times New Roman"/>
          <w:sz w:val="20"/>
          <w:szCs w:val="21"/>
          <w:lang w:eastAsia="ja-JP"/>
        </w:rPr>
        <w:t>の並行プロセスは、</w:t>
      </w:r>
      <w:r w:rsidR="004F3A16" w:rsidRPr="00F46EF2">
        <w:rPr>
          <w:rFonts w:ascii="Times New Roman" w:eastAsia="ＭＳ Ｐ明朝" w:hAnsi="Times New Roman"/>
          <w:sz w:val="20"/>
          <w:szCs w:val="21"/>
          <w:lang w:eastAsia="ja-JP"/>
        </w:rPr>
        <w:t>2011</w:t>
      </w:r>
      <w:r w:rsidR="004F3A16" w:rsidRPr="00F46EF2">
        <w:rPr>
          <w:rFonts w:ascii="Times New Roman" w:eastAsia="ＭＳ Ｐ明朝" w:hAnsi="Times New Roman"/>
          <w:sz w:val="20"/>
          <w:szCs w:val="21"/>
          <w:lang w:eastAsia="ja-JP"/>
        </w:rPr>
        <w:t>年に医薬品について、</w:t>
      </w:r>
      <w:r w:rsidR="003B439C" w:rsidRPr="00F46EF2">
        <w:rPr>
          <w:rFonts w:ascii="Times New Roman" w:eastAsia="ＭＳ Ｐ明朝" w:hAnsi="Times New Roman"/>
          <w:sz w:val="20"/>
          <w:szCs w:val="21"/>
          <w:lang w:eastAsia="ja-JP"/>
        </w:rPr>
        <w:t>2017</w:t>
      </w:r>
      <w:r w:rsidR="003B439C" w:rsidRPr="00F46EF2">
        <w:rPr>
          <w:rFonts w:ascii="Times New Roman" w:eastAsia="ＭＳ Ｐ明朝" w:hAnsi="Times New Roman"/>
          <w:sz w:val="20"/>
          <w:szCs w:val="21"/>
          <w:lang w:eastAsia="ja-JP"/>
        </w:rPr>
        <w:t>年に</w:t>
      </w:r>
      <w:r w:rsidR="004F3A16" w:rsidRPr="00F46EF2">
        <w:rPr>
          <w:rFonts w:ascii="Times New Roman" w:eastAsia="ＭＳ Ｐ明朝" w:hAnsi="Times New Roman"/>
          <w:sz w:val="20"/>
          <w:szCs w:val="21"/>
          <w:lang w:eastAsia="ja-JP"/>
        </w:rPr>
        <w:t>ワクチンについて導入された。この</w:t>
      </w:r>
      <w:r w:rsidR="003B439C" w:rsidRPr="00F46EF2">
        <w:rPr>
          <w:rFonts w:ascii="Times New Roman" w:eastAsia="ＭＳ Ｐ明朝" w:hAnsi="Times New Roman"/>
          <w:sz w:val="20"/>
          <w:szCs w:val="21"/>
          <w:lang w:eastAsia="ja-JP"/>
        </w:rPr>
        <w:t>制度により、スポンサーは</w:t>
      </w:r>
      <w:r w:rsidR="004F3A16" w:rsidRPr="00F46EF2">
        <w:rPr>
          <w:rFonts w:ascii="Times New Roman" w:eastAsia="ＭＳ Ｐ明朝" w:hAnsi="Times New Roman"/>
          <w:sz w:val="20"/>
          <w:szCs w:val="21"/>
          <w:lang w:eastAsia="ja-JP"/>
        </w:rPr>
        <w:t>TGA</w:t>
      </w:r>
      <w:r w:rsidR="004F3A16" w:rsidRPr="00F46EF2">
        <w:rPr>
          <w:rFonts w:ascii="Times New Roman" w:eastAsia="ＭＳ Ｐ明朝" w:hAnsi="Times New Roman"/>
          <w:sz w:val="20"/>
          <w:szCs w:val="21"/>
          <w:lang w:eastAsia="ja-JP"/>
        </w:rPr>
        <w:t>と</w:t>
      </w:r>
      <w:r w:rsidR="004F3A16" w:rsidRPr="00F46EF2">
        <w:rPr>
          <w:rFonts w:ascii="Times New Roman" w:eastAsia="ＭＳ Ｐ明朝" w:hAnsi="Times New Roman"/>
          <w:sz w:val="20"/>
          <w:szCs w:val="21"/>
          <w:lang w:eastAsia="ja-JP"/>
        </w:rPr>
        <w:t>PBAC</w:t>
      </w:r>
      <w:r w:rsidR="004F3A16" w:rsidRPr="00F46EF2">
        <w:rPr>
          <w:rFonts w:ascii="Times New Roman" w:eastAsia="ＭＳ Ｐ明朝" w:hAnsi="Times New Roman"/>
          <w:sz w:val="20"/>
          <w:szCs w:val="21"/>
          <w:lang w:eastAsia="ja-JP"/>
        </w:rPr>
        <w:t>による</w:t>
      </w:r>
      <w:r w:rsidR="003B439C" w:rsidRPr="00F46EF2">
        <w:rPr>
          <w:rFonts w:ascii="Times New Roman" w:eastAsia="ＭＳ Ｐ明朝" w:hAnsi="Times New Roman"/>
          <w:sz w:val="20"/>
          <w:szCs w:val="21"/>
          <w:lang w:eastAsia="ja-JP"/>
        </w:rPr>
        <w:t>同時評価のために</w:t>
      </w:r>
      <w:r w:rsidR="004F3A16" w:rsidRPr="00F46EF2">
        <w:rPr>
          <w:rFonts w:ascii="Times New Roman" w:eastAsia="ＭＳ Ｐ明朝" w:hAnsi="Times New Roman"/>
          <w:sz w:val="20"/>
          <w:szCs w:val="21"/>
          <w:lang w:eastAsia="ja-JP"/>
        </w:rPr>
        <w:t>医薬品を</w:t>
      </w:r>
      <w:r w:rsidR="003B439C" w:rsidRPr="00F46EF2">
        <w:rPr>
          <w:rFonts w:ascii="Times New Roman" w:eastAsia="ＭＳ Ｐ明朝" w:hAnsi="Times New Roman"/>
          <w:sz w:val="20"/>
          <w:szCs w:val="21"/>
          <w:lang w:eastAsia="ja-JP"/>
        </w:rPr>
        <w:t>提出することができ</w:t>
      </w:r>
      <w:r w:rsidR="004F3A16" w:rsidRPr="00F46EF2">
        <w:rPr>
          <w:rFonts w:ascii="Times New Roman" w:eastAsia="ＭＳ Ｐ明朝" w:hAnsi="Times New Roman"/>
          <w:sz w:val="20"/>
          <w:szCs w:val="21"/>
          <w:lang w:eastAsia="ja-JP"/>
        </w:rPr>
        <w:t>、オーストラリアにおける革新的な新薬の上市と助成を迅速に行うことができる。このプロセスにより、革新的な新薬の迅速な入手が可能となった</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7ECFFC55"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PBS</w:t>
      </w:r>
      <w:r w:rsidRPr="00F46EF2">
        <w:rPr>
          <w:rFonts w:ascii="Times New Roman" w:eastAsia="ＭＳ Ｐ明朝" w:hAnsi="Times New Roman"/>
          <w:sz w:val="20"/>
          <w:szCs w:val="21"/>
          <w:lang w:eastAsia="ja-JP"/>
        </w:rPr>
        <w:t>のプロセス改善は、</w:t>
      </w:r>
      <w:r w:rsidRPr="00F46EF2">
        <w:rPr>
          <w:rFonts w:ascii="Times New Roman" w:eastAsia="ＭＳ Ｐ明朝" w:hAnsi="Times New Roman"/>
          <w:sz w:val="20"/>
          <w:szCs w:val="21"/>
          <w:lang w:eastAsia="ja-JP"/>
        </w:rPr>
        <w:t>2</w:t>
      </w:r>
      <w:r w:rsidRPr="00F46EF2">
        <w:rPr>
          <w:rFonts w:ascii="Times New Roman" w:eastAsia="ＭＳ Ｐ明朝" w:hAnsi="Times New Roman"/>
          <w:sz w:val="20"/>
          <w:szCs w:val="21"/>
          <w:lang w:eastAsia="ja-JP"/>
        </w:rPr>
        <w:t>段階のアプローチで実施されている（戦略的合意</w:t>
      </w:r>
      <w:r w:rsidRPr="00F46EF2">
        <w:rPr>
          <w:rFonts w:ascii="Times New Roman" w:eastAsia="ＭＳ Ｐ明朝" w:hAnsi="Times New Roman"/>
          <w:sz w:val="20"/>
          <w:szCs w:val="21"/>
          <w:lang w:eastAsia="ja-JP"/>
        </w:rPr>
        <w:t>2017</w:t>
      </w:r>
      <w:r w:rsidRPr="00F46EF2">
        <w:rPr>
          <w:rFonts w:ascii="Times New Roman" w:eastAsia="ＭＳ Ｐ明朝" w:hAnsi="Times New Roman"/>
          <w:sz w:val="20"/>
          <w:szCs w:val="21"/>
          <w:lang w:eastAsia="ja-JP"/>
        </w:rPr>
        <w:t>の第</w:t>
      </w:r>
      <w:r w:rsidRPr="00F46EF2">
        <w:rPr>
          <w:rFonts w:ascii="Times New Roman" w:eastAsia="ＭＳ Ｐ明朝" w:hAnsi="Times New Roman"/>
          <w:sz w:val="20"/>
          <w:szCs w:val="21"/>
          <w:lang w:eastAsia="ja-JP"/>
        </w:rPr>
        <w:t>10</w:t>
      </w:r>
      <w:r w:rsidRPr="00F46EF2">
        <w:rPr>
          <w:rFonts w:ascii="Times New Roman" w:eastAsia="ＭＳ Ｐ明朝" w:hAnsi="Times New Roman"/>
          <w:sz w:val="20"/>
          <w:szCs w:val="21"/>
          <w:lang w:eastAsia="ja-JP"/>
        </w:rPr>
        <w:t>条に基づく）。</w:t>
      </w:r>
      <w:r w:rsidRPr="00F46EF2">
        <w:rPr>
          <w:rFonts w:ascii="Times New Roman" w:eastAsia="ＭＳ Ｐ明朝" w:hAnsi="Times New Roman"/>
          <w:sz w:val="20"/>
          <w:szCs w:val="21"/>
          <w:lang w:eastAsia="ja-JP"/>
        </w:rPr>
        <w:t xml:space="preserve"> </w:t>
      </w:r>
      <w:r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Government&lt;/Author&gt;&lt;Year&gt;2022&lt;/Year&gt;&lt;RecNum&gt;163&lt;/RecNum&gt;&lt;DisplayText&gt;[63]&lt;/DisplayText&gt;&lt;record&gt;&lt;rec-number&gt;163&lt;/rec-number&gt;&lt;foreign-keys&gt;&lt;key app="EN" db-id="z25xddsz659sshedpdu5pda3dswx20f99sf9" timestamp="1692002023"&gt;163&lt;/key&gt;&lt;/foreign-keys&gt;&lt;ref-type name="Web Page"&gt;12&lt;/ref-type&gt;&lt;contributors&gt;&lt;authors&gt;&lt;author&gt;Australian Government,&lt;/author&gt;&lt;/authors&gt;&lt;secondary-authors&gt;&lt;author&gt;Department of Health and Aged Care,&lt;/author&gt;&lt;/secondary-authors&gt;&lt;/contributors&gt;&lt;titles&gt;&lt;title&gt;PBS Process Improvements&lt;/title&gt;&lt;/titles&gt;&lt;volume&gt;2023&lt;/volume&gt;&lt;number&gt;19 June&lt;/number&gt;&lt;dates&gt;&lt;year&gt;2022&lt;/year&gt;&lt;/dates&gt;&lt;urls&gt;&lt;related-urls&gt;&lt;url&gt;https://www.pbs.gov.au/info/general/pbs-process-improvements&lt;/url&gt;&lt;/related-urls&gt;&lt;/urls&gt;&lt;/record&gt;&lt;/Cite&gt;&lt;/EndNote&gt;</w:instrText>
      </w:r>
      <w:r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[63]</w:t>
      </w:r>
      <w:r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00960BFC" w:rsidRPr="00F46EF2">
        <w:rPr>
          <w:rFonts w:ascii="Times New Roman" w:eastAsia="ＭＳ Ｐ明朝" w:hAnsi="Times New Roman"/>
          <w:sz w:val="20"/>
          <w:szCs w:val="21"/>
          <w:lang w:eastAsia="ja-JP"/>
        </w:rPr>
        <w:t>ステージ</w:t>
      </w:r>
      <w:r w:rsidR="00960BFC" w:rsidRPr="00F46EF2">
        <w:rPr>
          <w:rFonts w:ascii="Times New Roman" w:eastAsia="ＭＳ Ｐ明朝" w:hAnsi="Times New Roman"/>
          <w:sz w:val="20"/>
          <w:szCs w:val="21"/>
          <w:lang w:eastAsia="ja-JP"/>
        </w:rPr>
        <w:t>1</w:t>
      </w:r>
      <w:r w:rsidR="00960BFC" w:rsidRPr="00F46EF2">
        <w:rPr>
          <w:rFonts w:ascii="Times New Roman" w:eastAsia="ＭＳ Ｐ明朝" w:hAnsi="Times New Roman"/>
          <w:sz w:val="20"/>
          <w:szCs w:val="21"/>
          <w:lang w:eastAsia="ja-JP"/>
        </w:rPr>
        <w:t>の</w:t>
      </w:r>
      <w:r w:rsidR="00960BFC" w:rsidRPr="00F46EF2">
        <w:rPr>
          <w:rFonts w:ascii="Times New Roman" w:eastAsia="ＭＳ Ｐ明朝" w:hAnsi="Times New Roman"/>
          <w:sz w:val="20"/>
          <w:szCs w:val="21"/>
          <w:lang w:eastAsia="ja-JP"/>
        </w:rPr>
        <w:t>PBS</w:t>
      </w:r>
      <w:r w:rsidR="00960BFC" w:rsidRPr="00F46EF2">
        <w:rPr>
          <w:rFonts w:ascii="Times New Roman" w:eastAsia="ＭＳ Ｐ明朝" w:hAnsi="Times New Roman"/>
          <w:sz w:val="20"/>
          <w:szCs w:val="21"/>
          <w:lang w:eastAsia="ja-JP"/>
        </w:rPr>
        <w:t>プロセス改善は、</w:t>
      </w:r>
      <w:r w:rsidR="00960BFC" w:rsidRPr="00F46EF2">
        <w:rPr>
          <w:rFonts w:ascii="Times New Roman" w:eastAsia="ＭＳ Ｐ明朝" w:hAnsi="Times New Roman"/>
          <w:sz w:val="20"/>
          <w:szCs w:val="21"/>
          <w:lang w:eastAsia="ja-JP"/>
        </w:rPr>
        <w:t>2019</w:t>
      </w:r>
      <w:r w:rsidR="00960BFC" w:rsidRPr="00F46EF2">
        <w:rPr>
          <w:rFonts w:ascii="Times New Roman" w:eastAsia="ＭＳ Ｐ明朝" w:hAnsi="Times New Roman"/>
          <w:sz w:val="20"/>
          <w:szCs w:val="21"/>
          <w:lang w:eastAsia="ja-JP"/>
        </w:rPr>
        <w:t>年</w:t>
      </w:r>
      <w:r w:rsidR="00960BFC" w:rsidRPr="00F46EF2">
        <w:rPr>
          <w:rFonts w:ascii="Times New Roman" w:eastAsia="ＭＳ Ｐ明朝" w:hAnsi="Times New Roman"/>
          <w:sz w:val="20"/>
          <w:szCs w:val="21"/>
          <w:lang w:eastAsia="ja-JP"/>
        </w:rPr>
        <w:t>7</w:t>
      </w:r>
      <w:r w:rsidR="00960BFC" w:rsidRPr="00F46EF2">
        <w:rPr>
          <w:rFonts w:ascii="Times New Roman" w:eastAsia="ＭＳ Ｐ明朝" w:hAnsi="Times New Roman"/>
          <w:sz w:val="20"/>
          <w:szCs w:val="21"/>
          <w:lang w:eastAsia="ja-JP"/>
        </w:rPr>
        <w:t>月</w:t>
      </w:r>
      <w:r w:rsidR="00960BFC" w:rsidRPr="00F46EF2">
        <w:rPr>
          <w:rFonts w:ascii="Times New Roman" w:eastAsia="ＭＳ Ｐ明朝" w:hAnsi="Times New Roman"/>
          <w:sz w:val="20"/>
          <w:szCs w:val="21"/>
          <w:lang w:eastAsia="ja-JP"/>
        </w:rPr>
        <w:t>1</w:t>
      </w:r>
      <w:r w:rsidR="00960BFC" w:rsidRPr="00F46EF2">
        <w:rPr>
          <w:rFonts w:ascii="Times New Roman" w:eastAsia="ＭＳ Ｐ明朝" w:hAnsi="Times New Roman"/>
          <w:sz w:val="20"/>
          <w:szCs w:val="21"/>
          <w:lang w:eastAsia="ja-JP"/>
        </w:rPr>
        <w:t>日（</w:t>
      </w:r>
      <w:r w:rsidR="00960BFC" w:rsidRPr="00F46EF2">
        <w:rPr>
          <w:rFonts w:ascii="Times New Roman" w:eastAsia="ＭＳ Ｐ明朝" w:hAnsi="Times New Roman"/>
          <w:sz w:val="20"/>
          <w:szCs w:val="21"/>
          <w:vertAlign w:val="superscript"/>
          <w:lang w:eastAsia="ja-JP"/>
        </w:rPr>
        <w:t>st</w:t>
      </w:r>
      <w:r w:rsidR="00960BFC" w:rsidRPr="00F46EF2">
        <w:rPr>
          <w:rFonts w:ascii="Times New Roman" w:eastAsia="ＭＳ Ｐ明朝" w:hAnsi="Times New Roman"/>
          <w:sz w:val="20"/>
          <w:szCs w:val="21"/>
          <w:lang w:eastAsia="ja-JP"/>
        </w:rPr>
        <w:t xml:space="preserve"> </w:t>
      </w:r>
      <w:r w:rsidR="00960BFC" w:rsidRPr="00F46EF2">
        <w:rPr>
          <w:rFonts w:ascii="Times New Roman" w:eastAsia="ＭＳ Ｐ明朝" w:hAnsi="Times New Roman"/>
          <w:sz w:val="20"/>
          <w:szCs w:val="21"/>
          <w:lang w:eastAsia="ja-JP"/>
        </w:rPr>
        <w:t>）に開始された：</w:t>
      </w:r>
      <w:r w:rsidR="00960BFC" w:rsidRPr="00F46EF2">
        <w:rPr>
          <w:rFonts w:ascii="Times New Roman" w:eastAsia="ＭＳ Ｐ明朝" w:hAnsi="Times New Roman"/>
          <w:sz w:val="20"/>
          <w:szCs w:val="21"/>
          <w:lang w:eastAsia="ja-JP"/>
        </w:rPr>
        <w:t xml:space="preserve">1) </w:t>
      </w:r>
      <w:r w:rsidR="00960BFC" w:rsidRPr="00F46EF2">
        <w:rPr>
          <w:rFonts w:ascii="Times New Roman" w:eastAsia="ＭＳ Ｐ明朝" w:hAnsi="Times New Roman"/>
          <w:sz w:val="20"/>
          <w:szCs w:val="21"/>
          <w:lang w:eastAsia="ja-JP"/>
        </w:rPr>
        <w:t>複雑な申請に対する追加ガイダンスとサポートを提供するための申請前ミーティングの変更、</w:t>
      </w:r>
      <w:r w:rsidR="00960BFC" w:rsidRPr="00F46EF2">
        <w:rPr>
          <w:rFonts w:ascii="Times New Roman" w:eastAsia="ＭＳ Ｐ明朝" w:hAnsi="Times New Roman"/>
          <w:sz w:val="20"/>
          <w:szCs w:val="21"/>
          <w:lang w:eastAsia="ja-JP"/>
        </w:rPr>
        <w:t xml:space="preserve">2) </w:t>
      </w:r>
      <w:r w:rsidR="00960BFC" w:rsidRPr="00F46EF2">
        <w:rPr>
          <w:rFonts w:ascii="Times New Roman" w:eastAsia="ＭＳ Ｐ明朝" w:hAnsi="Times New Roman"/>
          <w:sz w:val="20"/>
          <w:szCs w:val="21"/>
          <w:lang w:eastAsia="ja-JP"/>
        </w:rPr>
        <w:t>メジャーおよびマイナーの申請に対する強制的な申請意思表示ステップの導入、</w:t>
      </w:r>
      <w:r w:rsidR="00960BFC" w:rsidRPr="00F46EF2">
        <w:rPr>
          <w:rFonts w:ascii="Times New Roman" w:eastAsia="ＭＳ Ｐ明朝" w:hAnsi="Times New Roman"/>
          <w:sz w:val="20"/>
          <w:szCs w:val="21"/>
          <w:lang w:eastAsia="ja-JP"/>
        </w:rPr>
        <w:t>3) PBAC</w:t>
      </w:r>
      <w:r w:rsidR="00960BFC" w:rsidRPr="00F46EF2">
        <w:rPr>
          <w:rFonts w:ascii="Times New Roman" w:eastAsia="ＭＳ Ｐ明朝" w:hAnsi="Times New Roman"/>
          <w:sz w:val="20"/>
          <w:szCs w:val="21"/>
          <w:lang w:eastAsia="ja-JP"/>
        </w:rPr>
        <w:t>の積極的な勧告に従った</w:t>
      </w:r>
      <w:r w:rsidR="00960BFC" w:rsidRPr="00F46EF2">
        <w:rPr>
          <w:rFonts w:ascii="Times New Roman" w:eastAsia="ＭＳ Ｐ明朝" w:hAnsi="Times New Roman"/>
          <w:sz w:val="20"/>
          <w:szCs w:val="21"/>
          <w:lang w:eastAsia="ja-JP"/>
        </w:rPr>
        <w:t>4</w:t>
      </w:r>
      <w:r w:rsidR="00960BFC" w:rsidRPr="00F46EF2">
        <w:rPr>
          <w:rFonts w:ascii="Times New Roman" w:eastAsia="ＭＳ Ｐ明朝" w:hAnsi="Times New Roman"/>
          <w:sz w:val="20"/>
          <w:szCs w:val="21"/>
          <w:lang w:eastAsia="ja-JP"/>
        </w:rPr>
        <w:t>つの新しい透明な経路の導入。ステージ</w:t>
      </w:r>
      <w:r w:rsidR="00960BFC" w:rsidRPr="00F46EF2">
        <w:rPr>
          <w:rFonts w:ascii="Times New Roman" w:eastAsia="ＭＳ Ｐ明朝" w:hAnsi="Times New Roman"/>
          <w:sz w:val="20"/>
          <w:szCs w:val="21"/>
          <w:lang w:eastAsia="ja-JP"/>
        </w:rPr>
        <w:t>2</w:t>
      </w:r>
      <w:r w:rsidR="00960BFC" w:rsidRPr="00F46EF2">
        <w:rPr>
          <w:rFonts w:ascii="Times New Roman" w:eastAsia="ＭＳ Ｐ明朝" w:hAnsi="Times New Roman"/>
          <w:sz w:val="20"/>
          <w:szCs w:val="21"/>
          <w:lang w:eastAsia="ja-JP"/>
        </w:rPr>
        <w:t>の</w:t>
      </w:r>
      <w:r w:rsidR="00960BFC" w:rsidRPr="00F46EF2">
        <w:rPr>
          <w:rFonts w:ascii="Times New Roman" w:eastAsia="ＭＳ Ｐ明朝" w:hAnsi="Times New Roman"/>
          <w:sz w:val="20"/>
          <w:szCs w:val="21"/>
          <w:lang w:eastAsia="ja-JP"/>
        </w:rPr>
        <w:t>PBS</w:t>
      </w:r>
      <w:r w:rsidR="00960BFC" w:rsidRPr="00F46EF2">
        <w:rPr>
          <w:rFonts w:ascii="Times New Roman" w:eastAsia="ＭＳ Ｐ明朝" w:hAnsi="Times New Roman"/>
          <w:sz w:val="20"/>
          <w:szCs w:val="21"/>
          <w:lang w:eastAsia="ja-JP"/>
        </w:rPr>
        <w:t>プロセスの改善は、</w:t>
      </w:r>
      <w:r w:rsidR="00960BFC" w:rsidRPr="00F46EF2">
        <w:rPr>
          <w:rFonts w:ascii="Times New Roman" w:eastAsia="ＭＳ Ｐ明朝" w:hAnsi="Times New Roman"/>
          <w:sz w:val="20"/>
          <w:szCs w:val="21"/>
          <w:lang w:eastAsia="ja-JP"/>
        </w:rPr>
        <w:t>2021</w:t>
      </w:r>
      <w:r w:rsidR="00960BFC" w:rsidRPr="00F46EF2">
        <w:rPr>
          <w:rFonts w:ascii="Times New Roman" w:eastAsia="ＭＳ Ｐ明朝" w:hAnsi="Times New Roman"/>
          <w:sz w:val="20"/>
          <w:szCs w:val="21"/>
          <w:lang w:eastAsia="ja-JP"/>
        </w:rPr>
        <w:t>年</w:t>
      </w:r>
      <w:r w:rsidR="00960BFC" w:rsidRPr="00F46EF2">
        <w:rPr>
          <w:rFonts w:ascii="Times New Roman" w:eastAsia="ＭＳ Ｐ明朝" w:hAnsi="Times New Roman"/>
          <w:sz w:val="20"/>
          <w:szCs w:val="21"/>
          <w:lang w:eastAsia="ja-JP"/>
        </w:rPr>
        <w:t>1</w:t>
      </w:r>
      <w:r w:rsidR="00960BFC" w:rsidRPr="00F46EF2">
        <w:rPr>
          <w:rFonts w:ascii="Times New Roman" w:eastAsia="ＭＳ Ｐ明朝" w:hAnsi="Times New Roman"/>
          <w:sz w:val="20"/>
          <w:szCs w:val="21"/>
          <w:lang w:eastAsia="ja-JP"/>
        </w:rPr>
        <w:t>月</w:t>
      </w:r>
      <w:r w:rsidR="00960BFC" w:rsidRPr="00F46EF2">
        <w:rPr>
          <w:rFonts w:ascii="Times New Roman" w:eastAsia="ＭＳ Ｐ明朝" w:hAnsi="Times New Roman"/>
          <w:sz w:val="20"/>
          <w:szCs w:val="21"/>
          <w:lang w:eastAsia="ja-JP"/>
        </w:rPr>
        <w:t>1</w:t>
      </w:r>
      <w:r w:rsidR="00960BFC" w:rsidRPr="00F46EF2">
        <w:rPr>
          <w:rFonts w:ascii="Times New Roman" w:eastAsia="ＭＳ Ｐ明朝" w:hAnsi="Times New Roman"/>
          <w:sz w:val="20"/>
          <w:szCs w:val="21"/>
          <w:lang w:eastAsia="ja-JP"/>
        </w:rPr>
        <w:t>日から開始された：</w:t>
      </w:r>
      <w:r w:rsidR="00960BFC" w:rsidRPr="00F46EF2">
        <w:rPr>
          <w:rFonts w:ascii="Times New Roman" w:eastAsia="ＭＳ Ｐ明朝" w:hAnsi="Times New Roman"/>
          <w:sz w:val="20"/>
          <w:szCs w:val="21"/>
          <w:lang w:eastAsia="ja-JP"/>
        </w:rPr>
        <w:t>1</w:t>
      </w:r>
      <w:r w:rsidR="00960BFC" w:rsidRPr="00F46EF2">
        <w:rPr>
          <w:rFonts w:ascii="Times New Roman" w:eastAsia="ＭＳ Ｐ明朝" w:hAnsi="Times New Roman"/>
          <w:sz w:val="20"/>
          <w:szCs w:val="21"/>
          <w:lang w:eastAsia="ja-JP"/>
        </w:rPr>
        <w:t>）初回申請区分の変更（単一申請日</w:t>
      </w:r>
      <w:r w:rsidR="00960BFC" w:rsidRPr="00F46EF2">
        <w:rPr>
          <w:rFonts w:ascii="Times New Roman" w:eastAsia="ＭＳ Ｐ明朝" w:hAnsi="Times New Roman"/>
          <w:sz w:val="20"/>
          <w:szCs w:val="21"/>
          <w:lang w:eastAsia="ja-JP"/>
        </w:rPr>
        <w:lastRenderedPageBreak/>
        <w:t>の導入を含む）、</w:t>
      </w:r>
      <w:r w:rsidR="00960BFC" w:rsidRPr="00F46EF2">
        <w:rPr>
          <w:rFonts w:ascii="Times New Roman" w:eastAsia="ＭＳ Ｐ明朝" w:hAnsi="Times New Roman"/>
          <w:sz w:val="20"/>
          <w:szCs w:val="21"/>
          <w:lang w:eastAsia="ja-JP"/>
        </w:rPr>
        <w:t>2</w:t>
      </w:r>
      <w:r w:rsidR="00960BFC" w:rsidRPr="00F46EF2">
        <w:rPr>
          <w:rFonts w:ascii="Times New Roman" w:eastAsia="ＭＳ Ｐ明朝" w:hAnsi="Times New Roman"/>
          <w:sz w:val="20"/>
          <w:szCs w:val="21"/>
          <w:lang w:eastAsia="ja-JP"/>
        </w:rPr>
        <w:t>）</w:t>
      </w:r>
      <w:r w:rsidR="00960BFC" w:rsidRPr="00F46EF2">
        <w:rPr>
          <w:rFonts w:ascii="Times New Roman" w:eastAsia="ＭＳ Ｐ明朝" w:hAnsi="Times New Roman"/>
          <w:sz w:val="20"/>
          <w:szCs w:val="21"/>
          <w:lang w:eastAsia="ja-JP"/>
        </w:rPr>
        <w:t>PBAC</w:t>
      </w:r>
      <w:r w:rsidR="00960BFC" w:rsidRPr="00F46EF2">
        <w:rPr>
          <w:rFonts w:ascii="Times New Roman" w:eastAsia="ＭＳ Ｐ明朝" w:hAnsi="Times New Roman"/>
          <w:sz w:val="20"/>
          <w:szCs w:val="21"/>
          <w:lang w:eastAsia="ja-JP"/>
        </w:rPr>
        <w:t>が推奨しなかった申請に対する再申請経路の導入、</w:t>
      </w:r>
      <w:r w:rsidR="00960BFC" w:rsidRPr="00F46EF2">
        <w:rPr>
          <w:rFonts w:ascii="Times New Roman" w:eastAsia="ＭＳ Ｐ明朝" w:hAnsi="Times New Roman"/>
          <w:sz w:val="20"/>
          <w:szCs w:val="21"/>
          <w:lang w:eastAsia="ja-JP"/>
        </w:rPr>
        <w:t>3</w:t>
      </w:r>
      <w:r w:rsidR="00960BFC" w:rsidRPr="00F46EF2">
        <w:rPr>
          <w:rFonts w:ascii="Times New Roman" w:eastAsia="ＭＳ Ｐ明朝" w:hAnsi="Times New Roman"/>
          <w:sz w:val="20"/>
          <w:szCs w:val="21"/>
          <w:lang w:eastAsia="ja-JP"/>
        </w:rPr>
        <w:t>）ステージ</w:t>
      </w:r>
      <w:r w:rsidR="00960BFC" w:rsidRPr="00F46EF2">
        <w:rPr>
          <w:rFonts w:ascii="Times New Roman" w:eastAsia="ＭＳ Ｐ明朝" w:hAnsi="Times New Roman"/>
          <w:sz w:val="20"/>
          <w:szCs w:val="21"/>
          <w:lang w:eastAsia="ja-JP"/>
        </w:rPr>
        <w:t>2</w:t>
      </w:r>
      <w:r w:rsidR="00960BFC" w:rsidRPr="00F46EF2">
        <w:rPr>
          <w:rFonts w:ascii="Times New Roman" w:eastAsia="ＭＳ Ｐ明朝" w:hAnsi="Times New Roman"/>
          <w:sz w:val="20"/>
          <w:szCs w:val="21"/>
          <w:lang w:eastAsia="ja-JP"/>
        </w:rPr>
        <w:t>のプロセス改善の実施をサポートするための費用回収の取り決めの改定、</w:t>
      </w:r>
      <w:r w:rsidR="00960BFC" w:rsidRPr="00F46EF2">
        <w:rPr>
          <w:rFonts w:ascii="Times New Roman" w:eastAsia="ＭＳ Ｐ明朝" w:hAnsi="Times New Roman"/>
          <w:sz w:val="20"/>
          <w:szCs w:val="21"/>
          <w:lang w:eastAsia="ja-JP"/>
        </w:rPr>
        <w:t>4</w:t>
      </w:r>
      <w:r w:rsidR="00960BFC" w:rsidRPr="00F46EF2">
        <w:rPr>
          <w:rFonts w:ascii="Times New Roman" w:eastAsia="ＭＳ Ｐ明朝" w:hAnsi="Times New Roman"/>
          <w:sz w:val="20"/>
          <w:szCs w:val="21"/>
          <w:lang w:eastAsia="ja-JP"/>
        </w:rPr>
        <w:t>）その他、同局の</w:t>
      </w:r>
      <w:r w:rsidR="00960BFC" w:rsidRPr="00F46EF2">
        <w:rPr>
          <w:rFonts w:ascii="Times New Roman" w:eastAsia="ＭＳ Ｐ明朝" w:hAnsi="Times New Roman"/>
          <w:sz w:val="20"/>
          <w:szCs w:val="21"/>
          <w:lang w:eastAsia="ja-JP"/>
        </w:rPr>
        <w:t>Health Products Portal</w:t>
      </w:r>
      <w:r w:rsidR="00960BFC" w:rsidRPr="00F46EF2">
        <w:rPr>
          <w:rFonts w:ascii="Times New Roman" w:eastAsia="ＭＳ Ｐ明朝" w:hAnsi="Times New Roman"/>
          <w:sz w:val="20"/>
          <w:szCs w:val="21"/>
          <w:lang w:eastAsia="ja-JP"/>
        </w:rPr>
        <w:t>の機能拡張を含む改善。</w:t>
      </w:r>
      <w:r w:rsidR="001F0AE5" w:rsidRPr="00F46EF2">
        <w:rPr>
          <w:rFonts w:ascii="Times New Roman" w:eastAsia="ＭＳ Ｐ明朝" w:hAnsi="Times New Roman"/>
          <w:sz w:val="20"/>
          <w:szCs w:val="21"/>
          <w:lang w:eastAsia="ja-JP"/>
        </w:rPr>
        <w:t>プロセス改善のひとつは、</w:t>
      </w:r>
      <w:r w:rsidR="001F0AE5" w:rsidRPr="00F46EF2">
        <w:rPr>
          <w:rFonts w:ascii="Times New Roman" w:eastAsia="ＭＳ Ｐ明朝" w:hAnsi="Times New Roman"/>
          <w:sz w:val="20"/>
          <w:szCs w:val="21"/>
          <w:lang w:eastAsia="ja-JP"/>
        </w:rPr>
        <w:t>PBS</w:t>
      </w:r>
      <w:r w:rsidR="001F0AE5" w:rsidRPr="00F46EF2">
        <w:rPr>
          <w:rFonts w:ascii="Times New Roman" w:eastAsia="ＭＳ Ｐ明朝" w:hAnsi="Times New Roman"/>
          <w:sz w:val="20"/>
          <w:szCs w:val="21"/>
          <w:lang w:eastAsia="ja-JP"/>
        </w:rPr>
        <w:t>に医薬品が収載されるまでに要した時間に関するデータを収集・公表</w:t>
      </w:r>
      <w:r w:rsidR="00F87450" w:rsidRPr="00F46EF2">
        <w:rPr>
          <w:rFonts w:ascii="Times New Roman" w:eastAsia="ＭＳ Ｐ明朝" w:hAnsi="Times New Roman"/>
          <w:sz w:val="20"/>
          <w:szCs w:val="21"/>
          <w:lang w:eastAsia="ja-JP"/>
        </w:rPr>
        <w:t>する</w:t>
      </w:r>
      <w:r w:rsidR="001F0AE5" w:rsidRPr="00F46EF2">
        <w:rPr>
          <w:rFonts w:ascii="Times New Roman" w:eastAsia="ＭＳ Ｐ明朝" w:hAnsi="Times New Roman"/>
          <w:sz w:val="20"/>
          <w:szCs w:val="21"/>
          <w:lang w:eastAsia="ja-JP"/>
        </w:rPr>
        <w:t>主要な指標を開発すること</w:t>
      </w:r>
      <w:r w:rsidR="00F87450" w:rsidRPr="00F46EF2">
        <w:rPr>
          <w:rFonts w:ascii="Times New Roman" w:eastAsia="ＭＳ Ｐ明朝" w:hAnsi="Times New Roman"/>
          <w:sz w:val="20"/>
          <w:szCs w:val="21"/>
          <w:lang w:eastAsia="ja-JP"/>
        </w:rPr>
        <w:t>であった</w:t>
      </w:r>
      <w:r w:rsidR="00F87450" w:rsidRPr="00F46EF2">
        <w:rPr>
          <w:rFonts w:ascii="Times New Roman" w:eastAsia="ＭＳ Ｐ明朝" w:hAnsi="Times New Roman"/>
          <w:sz w:val="20"/>
          <w:szCs w:val="21"/>
          <w:lang w:eastAsia="ja-JP"/>
        </w:rPr>
        <w:t>[64]</w:t>
      </w:r>
      <w:r w:rsidR="00F87450" w:rsidRPr="00F46EF2">
        <w:rPr>
          <w:rFonts w:ascii="Times New Roman" w:eastAsia="ＭＳ Ｐ明朝" w:hAnsi="Times New Roman"/>
          <w:sz w:val="20"/>
          <w:szCs w:val="21"/>
          <w:lang w:eastAsia="ja-JP"/>
        </w:rPr>
        <w:t>。</w:t>
      </w:r>
      <w:r w:rsidR="00F87450" w:rsidRPr="00F46EF2">
        <w:rPr>
          <w:rFonts w:ascii="Times New Roman" w:eastAsia="ＭＳ Ｐ明朝" w:hAnsi="Times New Roman"/>
          <w:sz w:val="20"/>
          <w:szCs w:val="21"/>
          <w:lang w:eastAsia="ja-JP"/>
        </w:rPr>
        <w:t xml:space="preserve"> </w:t>
      </w:r>
      <w:r w:rsidR="001F0AE5"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Government&lt;/Author&gt;&lt;Year&gt;2023&lt;/Year&gt;&lt;RecNum&gt;359&lt;/RecNum&gt;&lt;DisplayText&gt;[64]&lt;/DisplayText&gt;&lt;record&gt;&lt;rec-number&gt;359&lt;/rec-number&gt;&lt;foreign-keys&gt;&lt;key app="EN" db-id="z25xddsz659sshedpdu5pda3dswx20f99sf9" timestamp="1695388218"&gt;359&lt;/key&gt;&lt;/foreign-keys&gt;&lt;ref-type name="Web Page"&gt;12&lt;/ref-type&gt;&lt;contributors&gt;&lt;authors&gt;&lt;author&gt;Australian Government,&lt;/author&gt;&lt;/authors&gt;&lt;secondary-authors&gt;&lt;author&gt;Department of Health and Aged Care,&lt;/author&gt;&lt;/secondary-authors&gt;&lt;/contributors&gt;&lt;titles&gt;&lt;title&gt;Publication of Stage 1 and Stage 2 PBS Process Improvements metrics report for 2021-22&lt;/title&gt;&lt;/titles&gt;&lt;volume&gt;2023&lt;/volume&gt;&lt;number&gt;19 June&lt;/number&gt;&lt;dates&gt;&lt;year&gt;2023&lt;/year&gt;&lt;/dates&gt;&lt;urls&gt;&lt;related-urls&gt;&lt;url&gt;https://www.pbs.gov.au/info/news/2023/04/publication-of-stage-1-and-stage-2-pbs-process&lt;/url&gt;&lt;/related-urls&gt;&lt;/urls&gt;&lt;/record&gt;&lt;/Cite&gt;&lt;/EndNote&gt;</w:instrText>
      </w:r>
      <w:r w:rsidR="001F0AE5"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[64]</w:t>
      </w:r>
      <w:r w:rsidR="001F0AE5" w:rsidRPr="00F46EF2">
        <w:rPr>
          <w:rFonts w:ascii="Times New Roman" w:eastAsia="ＭＳ Ｐ明朝" w:hAnsi="Times New Roman"/>
          <w:sz w:val="20"/>
          <w:szCs w:val="21"/>
        </w:rPr>
        <w:fldChar w:fldCharType="end"/>
      </w:r>
      <w:r w:rsidR="001F0AE5" w:rsidRPr="00F46EF2">
        <w:rPr>
          <w:rFonts w:ascii="Times New Roman" w:eastAsia="ＭＳ Ｐ明朝" w:hAnsi="Times New Roman"/>
          <w:sz w:val="20"/>
          <w:szCs w:val="21"/>
          <w:lang w:eastAsia="ja-JP"/>
        </w:rPr>
        <w:t>.</w:t>
      </w:r>
      <w:r w:rsidR="00A60A90" w:rsidRPr="00F46EF2">
        <w:rPr>
          <w:rFonts w:ascii="Times New Roman" w:eastAsia="ＭＳ Ｐ明朝" w:hAnsi="Times New Roman"/>
          <w:sz w:val="20"/>
          <w:szCs w:val="21"/>
          <w:lang w:eastAsia="ja-JP"/>
        </w:rPr>
        <w:t>2021</w:t>
      </w:r>
      <w:r w:rsidR="00A60A90" w:rsidRPr="00F46EF2">
        <w:rPr>
          <w:rFonts w:ascii="Times New Roman" w:eastAsia="ＭＳ Ｐ明朝" w:hAnsi="Times New Roman"/>
          <w:sz w:val="20"/>
          <w:szCs w:val="21"/>
          <w:lang w:eastAsia="ja-JP"/>
        </w:rPr>
        <w:t>年、</w:t>
      </w:r>
      <w:r w:rsidR="00A60A90" w:rsidRPr="00F46EF2">
        <w:rPr>
          <w:rFonts w:ascii="Times New Roman" w:eastAsia="ＭＳ Ｐ明朝" w:hAnsi="Times New Roman"/>
          <w:sz w:val="20"/>
          <w:szCs w:val="21"/>
          <w:lang w:eastAsia="ja-JP"/>
        </w:rPr>
        <w:t>DoHAC</w:t>
      </w:r>
      <w:r w:rsidR="00A60A90" w:rsidRPr="00F46EF2">
        <w:rPr>
          <w:rFonts w:ascii="Times New Roman" w:eastAsia="ＭＳ Ｐ明朝" w:hAnsi="Times New Roman"/>
          <w:sz w:val="20"/>
          <w:szCs w:val="21"/>
          <w:lang w:eastAsia="ja-JP"/>
        </w:rPr>
        <w:t>は人工関節リストの改革と改善を支援するための作業を開始した</w:t>
      </w:r>
      <w:r w:rsidR="008B797A" w:rsidRPr="00F46EF2">
        <w:rPr>
          <w:rFonts w:ascii="Times New Roman" w:eastAsia="ＭＳ Ｐ明朝" w:hAnsi="Times New Roman"/>
          <w:sz w:val="20"/>
          <w:szCs w:val="21"/>
          <w:lang w:eastAsia="ja-JP"/>
        </w:rPr>
        <w:t>。この作業による新たな取り決めが実施されたのはごく最近のことである（</w:t>
      </w:r>
      <w:r w:rsidR="008B797A" w:rsidRPr="00F46EF2">
        <w:rPr>
          <w:rFonts w:ascii="Times New Roman" w:eastAsia="ＭＳ Ｐ明朝" w:hAnsi="Times New Roman"/>
          <w:sz w:val="20"/>
          <w:szCs w:val="21"/>
          <w:lang w:eastAsia="ja-JP"/>
        </w:rPr>
        <w:t>2023</w:t>
      </w:r>
      <w:r w:rsidR="008B797A" w:rsidRPr="00F46EF2">
        <w:rPr>
          <w:rFonts w:ascii="Times New Roman" w:eastAsia="ＭＳ Ｐ明朝" w:hAnsi="Times New Roman"/>
          <w:sz w:val="20"/>
          <w:szCs w:val="21"/>
          <w:lang w:eastAsia="ja-JP"/>
        </w:rPr>
        <w:t>年</w:t>
      </w:r>
      <w:r w:rsidR="008B797A" w:rsidRPr="00F46EF2">
        <w:rPr>
          <w:rFonts w:ascii="Times New Roman" w:eastAsia="ＭＳ Ｐ明朝" w:hAnsi="Times New Roman"/>
          <w:sz w:val="20"/>
          <w:szCs w:val="21"/>
          <w:lang w:eastAsia="ja-JP"/>
        </w:rPr>
        <w:t>7</w:t>
      </w:r>
      <w:r w:rsidR="008B797A" w:rsidRPr="00F46EF2">
        <w:rPr>
          <w:rFonts w:ascii="Times New Roman" w:eastAsia="ＭＳ Ｐ明朝" w:hAnsi="Times New Roman"/>
          <w:sz w:val="20"/>
          <w:szCs w:val="21"/>
          <w:lang w:eastAsia="ja-JP"/>
        </w:rPr>
        <w:t>月</w:t>
      </w:r>
      <w:r w:rsidR="008B797A" w:rsidRPr="00F46EF2">
        <w:rPr>
          <w:rFonts w:ascii="Times New Roman" w:eastAsia="ＭＳ Ｐ明朝" w:hAnsi="Times New Roman"/>
          <w:sz w:val="20"/>
          <w:szCs w:val="21"/>
          <w:lang w:eastAsia="ja-JP"/>
        </w:rPr>
        <w:t>1</w:t>
      </w:r>
      <w:r w:rsidR="008B797A" w:rsidRPr="00F46EF2">
        <w:rPr>
          <w:rFonts w:ascii="Times New Roman" w:eastAsia="ＭＳ Ｐ明朝" w:hAnsi="Times New Roman"/>
          <w:sz w:val="20"/>
          <w:szCs w:val="21"/>
          <w:lang w:eastAsia="ja-JP"/>
        </w:rPr>
        <w:t>日</w:t>
      </w:r>
      <w:r w:rsidR="008B797A" w:rsidRPr="00F46EF2">
        <w:rPr>
          <w:rFonts w:ascii="Times New Roman" w:eastAsia="ＭＳ Ｐ明朝" w:hAnsi="Times New Roman"/>
          <w:sz w:val="20"/>
          <w:szCs w:val="21"/>
          <w:vertAlign w:val="superscript"/>
          <w:lang w:eastAsia="ja-JP"/>
        </w:rPr>
        <w:t>st</w:t>
      </w:r>
      <w:r w:rsidR="008B797A" w:rsidRPr="00F46EF2">
        <w:rPr>
          <w:rFonts w:ascii="Times New Roman" w:eastAsia="ＭＳ Ｐ明朝" w:hAnsi="Times New Roman"/>
          <w:sz w:val="20"/>
          <w:szCs w:val="21"/>
          <w:lang w:eastAsia="ja-JP"/>
        </w:rPr>
        <w:t xml:space="preserve"> </w:t>
      </w:r>
      <w:r w:rsidR="008B797A" w:rsidRPr="00F46EF2">
        <w:rPr>
          <w:rFonts w:ascii="Times New Roman" w:eastAsia="ＭＳ Ｐ明朝" w:hAnsi="Times New Roman"/>
          <w:sz w:val="20"/>
          <w:szCs w:val="21"/>
          <w:lang w:eastAsia="ja-JP"/>
        </w:rPr>
        <w:t>）。</w:t>
      </w:r>
      <w:r w:rsidR="008B797A" w:rsidRPr="00F46EF2">
        <w:rPr>
          <w:rFonts w:ascii="Times New Roman" w:eastAsia="ＭＳ Ｐ明朝" w:hAnsi="Times New Roman"/>
          <w:sz w:val="20"/>
          <w:szCs w:val="21"/>
          <w:lang w:eastAsia="ja-JP"/>
        </w:rPr>
        <w:t xml:space="preserve"> </w:t>
      </w:r>
      <w:r w:rsidR="00A60A90"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&lt;EndNote&gt;&lt;Cite&gt;&lt;Author&gt;Australian Government&lt;/Author&gt;&lt;Year&gt;2022&lt;/Year&gt;&lt;RecNum&gt;116&lt;/RecNum&gt;&lt;DisplayText&gt;[65]&lt;/DisplayText&gt;&lt;record&gt;&lt;rec-number&gt;116&lt;/rec-number&gt;&lt;foreign-keys&gt;&lt;key app="EN" db-id="z25xddsz659sshedpdu5pda3dswx20f99sf9" timestamp="1692002023"&gt;116&lt;/key&gt;&lt;/foreign-keys&gt;&lt;ref-type name="Web Page"&gt;12&lt;/ref-type&gt;&lt;contributors&gt;&lt;authors&gt;&lt;author&gt;Australian Government,&lt;/author&gt;&lt;/authors&gt;&lt;secondary-authors&gt;&lt;author&gt;Department of Health and Aged Care,&lt;/author&gt;&lt;/secondary-authors&gt;&lt;/contributors&gt;&lt;titles&gt;&lt;title&gt;Prostheses List Reforms – Pre-Listing Assessment Framework and Governance Structure&lt;/title&gt;&lt;/titles&gt;&lt;volume&gt;2023&lt;/volume&gt;&lt;number&gt;22 June&lt;/number&gt;&lt;dates&gt;&lt;year&gt;2022&lt;/year&gt;&lt;/dates&gt;&lt;urls&gt;&lt;related-urls&gt;&lt;url&gt;https://www.health.gov.au/sites/default/files/2023-01/prostheses-list-reforms-pre-listing-assessment-framework-and-governance-structure.pdf&lt;/url&gt;&lt;/related-urls&gt;&lt;/urls&gt;&lt;/record&gt;&lt;/Cite&gt;&lt;/EndNote&gt;</w:instrText>
      </w:r>
      <w:r w:rsidR="00A60A90"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[65]</w:t>
      </w:r>
      <w:r w:rsidR="00A60A90" w:rsidRPr="00F46EF2">
        <w:rPr>
          <w:rFonts w:ascii="Times New Roman" w:eastAsia="ＭＳ Ｐ明朝" w:hAnsi="Times New Roman"/>
          <w:sz w:val="20"/>
          <w:szCs w:val="21"/>
        </w:rPr>
        <w:fldChar w:fldCharType="end"/>
      </w:r>
      <w:r w:rsidR="00D62FA0" w:rsidRPr="00F46EF2">
        <w:rPr>
          <w:rFonts w:ascii="Times New Roman" w:eastAsia="ＭＳ Ｐ明朝" w:hAnsi="Times New Roman"/>
          <w:sz w:val="20"/>
          <w:szCs w:val="21"/>
          <w:lang w:eastAsia="ja-JP"/>
        </w:rPr>
        <w:t xml:space="preserve">. </w:t>
      </w:r>
    </w:p>
    <w:p w14:paraId="0C1036A7"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SMC</w:t>
      </w:r>
      <w:r w:rsidRPr="00F46EF2">
        <w:rPr>
          <w:rFonts w:ascii="Times New Roman" w:eastAsia="ＭＳ Ｐ明朝" w:hAnsi="Times New Roman"/>
          <w:sz w:val="20"/>
          <w:szCs w:val="21"/>
          <w:lang w:eastAsia="ja-JP"/>
        </w:rPr>
        <w:t>は</w:t>
      </w:r>
      <w:r w:rsidRPr="00F46EF2">
        <w:rPr>
          <w:rFonts w:ascii="Times New Roman" w:eastAsia="ＭＳ Ｐ明朝" w:hAnsi="Times New Roman"/>
          <w:sz w:val="20"/>
          <w:szCs w:val="21"/>
          <w:lang w:eastAsia="ja-JP"/>
        </w:rPr>
        <w:t>2020</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1</w:t>
      </w:r>
      <w:r w:rsidRPr="00F46EF2">
        <w:rPr>
          <w:rFonts w:ascii="Times New Roman" w:eastAsia="ＭＳ Ｐ明朝" w:hAnsi="Times New Roman"/>
          <w:sz w:val="20"/>
          <w:szCs w:val="21"/>
          <w:lang w:eastAsia="ja-JP"/>
        </w:rPr>
        <w:t>月より、変更点が単純な</w:t>
      </w:r>
      <w:r w:rsidRPr="00F46EF2">
        <w:rPr>
          <w:rFonts w:ascii="Times New Roman" w:eastAsia="ＭＳ Ｐ明朝" w:hAnsi="Times New Roman"/>
          <w:sz w:val="20"/>
          <w:szCs w:val="21"/>
          <w:lang w:eastAsia="ja-JP"/>
        </w:rPr>
        <w:t>PAS</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Patient Access Scheme</w:t>
      </w:r>
      <w:r w:rsidRPr="00F46EF2">
        <w:rPr>
          <w:rFonts w:ascii="Times New Roman" w:eastAsia="ＭＳ Ｐ明朝" w:hAnsi="Times New Roman"/>
          <w:sz w:val="20"/>
          <w:szCs w:val="21"/>
          <w:lang w:eastAsia="ja-JP"/>
        </w:rPr>
        <w:t>：患者アクセス・スキーム）の新設または改善のみである場合、または再申請のポイントが確定薬価リストの変更である場合、迅速な再申請プロセスを導入した。</w:t>
      </w:r>
      <w:r w:rsidRPr="00F46EF2">
        <w:rPr>
          <w:rFonts w:ascii="Times New Roman" w:eastAsia="ＭＳ Ｐ明朝" w:hAnsi="Times New Roman"/>
          <w:sz w:val="20"/>
          <w:szCs w:val="21"/>
          <w:lang w:eastAsia="ja-JP"/>
        </w:rPr>
        <w:t xml:space="preserve"> </w:t>
      </w:r>
    </w:p>
    <w:p w14:paraId="650D5C30"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2019</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7</w:t>
      </w:r>
      <w:r w:rsidRPr="00F46EF2">
        <w:rPr>
          <w:rFonts w:ascii="Times New Roman" w:eastAsia="ＭＳ Ｐ明朝" w:hAnsi="Times New Roman"/>
          <w:sz w:val="20"/>
          <w:szCs w:val="21"/>
          <w:lang w:eastAsia="ja-JP"/>
        </w:rPr>
        <w:t>月、</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は医療技術評価手法ガイドの大改革に着手し、</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の方向性と優先事項の枠組みを提供する</w:t>
      </w:r>
      <w:r w:rsidRPr="00F46EF2">
        <w:rPr>
          <w:rFonts w:ascii="Times New Roman" w:eastAsia="ＭＳ Ｐ明朝" w:hAnsi="Times New Roman"/>
          <w:sz w:val="20"/>
          <w:szCs w:val="21"/>
          <w:lang w:eastAsia="ja-JP"/>
        </w:rPr>
        <w:t>5</w:t>
      </w:r>
      <w:r w:rsidRPr="00F46EF2">
        <w:rPr>
          <w:rFonts w:ascii="Times New Roman" w:eastAsia="ＭＳ Ｐ明朝" w:hAnsi="Times New Roman"/>
          <w:sz w:val="20"/>
          <w:szCs w:val="21"/>
          <w:lang w:eastAsia="ja-JP"/>
        </w:rPr>
        <w:t>カ年戦略計画を概説した。</w:t>
      </w:r>
      <w:r w:rsidRPr="00F46EF2">
        <w:rPr>
          <w:rFonts w:ascii="Times New Roman" w:eastAsia="ＭＳ Ｐ明朝" w:hAnsi="Times New Roman"/>
          <w:sz w:val="20"/>
          <w:szCs w:val="21"/>
          <w:lang w:eastAsia="ja-JP"/>
        </w:rPr>
        <w:t>2022</w:t>
      </w:r>
      <w:r w:rsidRPr="00F46EF2">
        <w:rPr>
          <w:rFonts w:ascii="Times New Roman" w:eastAsia="ＭＳ Ｐ明朝" w:hAnsi="Times New Roman"/>
          <w:sz w:val="20"/>
          <w:szCs w:val="21"/>
          <w:lang w:eastAsia="ja-JP"/>
        </w:rPr>
        <w:t>年、</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は、より多くのガイダンスを作成できるように能力を向上させ、それによって評価実施にかかる時間を短縮</w:t>
      </w:r>
      <w:r w:rsidR="00160CB7" w:rsidRPr="00F46EF2">
        <w:rPr>
          <w:rFonts w:ascii="Times New Roman" w:eastAsia="ＭＳ Ｐ明朝" w:hAnsi="Times New Roman"/>
          <w:sz w:val="20"/>
          <w:szCs w:val="21"/>
          <w:lang w:eastAsia="ja-JP"/>
        </w:rPr>
        <w:t>し</w:t>
      </w:r>
      <w:r w:rsidRPr="00F46EF2">
        <w:rPr>
          <w:rFonts w:ascii="Times New Roman" w:eastAsia="ＭＳ Ｐ明朝" w:hAnsi="Times New Roman"/>
          <w:sz w:val="20"/>
          <w:szCs w:val="21"/>
          <w:lang w:eastAsia="ja-JP"/>
        </w:rPr>
        <w:t>、迅速な意思決定を可能にすることを目的として、技術評価に対する「比例アプローチ」を開発した</w:t>
      </w:r>
      <w:r w:rsidRPr="00F46EF2">
        <w:rPr>
          <w:rFonts w:ascii="Times New Roman" w:eastAsia="ＭＳ Ｐ明朝" w:hAnsi="Times New Roman"/>
          <w:sz w:val="20"/>
          <w:szCs w:val="21"/>
          <w:lang w:eastAsia="ja-JP"/>
        </w:rPr>
        <w:t>[66]</w:t>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 xml:space="preserve"> </w:t>
      </w:r>
      <w:r w:rsidR="007B773F" w:rsidRPr="00F46EF2">
        <w:rPr>
          <w:rFonts w:ascii="Times New Roman" w:eastAsia="ＭＳ Ｐ明朝" w:hAnsi="Times New Roman"/>
          <w:sz w:val="20"/>
          <w:szCs w:val="21"/>
        </w:rPr>
        <w:fldChar w:fldCharType="begin"/>
      </w:r>
      <w:r w:rsidR="005E33D6" w:rsidRPr="00F46EF2">
        <w:rPr>
          <w:rFonts w:ascii="Times New Roman" w:eastAsia="ＭＳ Ｐ明朝" w:hAnsi="Times New Roman"/>
          <w:sz w:val="20"/>
          <w:szCs w:val="21"/>
          <w:lang w:eastAsia="ja-JP"/>
        </w:rPr>
        <w:instrText xml:space="preserve"> ADDIN EN.CITE &lt;EndNote&gt;&lt;Cite&gt;&lt;Author&gt;National Institute for Health and Care Excellence&lt;/Author&gt;&lt;Year&gt;(n.d)&lt;/Year&gt;&lt;RecNum&gt;169&lt;/RecNum&gt;&lt;DisplayText&gt;[66]&lt;/DisplayText&gt;&lt;record&gt;&lt;rec-number&gt;169&lt;/rec-number&gt;&lt;foreign-keys&gt;&lt;key app="EN" db-id="z25xddsz659sshedpdu5pda3dswx20f99sf9" timestamp="1692002023"&gt;169&lt;/key&gt;&lt;/foreign-keys&gt;&lt;ref-type name="Web Page"&gt;12&lt;/ref-type&gt;&lt;contributors&gt;&lt;authors&gt;&lt;author&gt;National Institute for Health and Care Excellence,&lt;/author&gt;&lt;/authors&gt;&lt;/contributors&gt;&lt;titles&gt;&lt;title&gt;Taking a proportionate approach to technology appraisals&lt;/title&gt;&lt;/titles&gt;&lt;volume&gt;2023&lt;/volume&gt;&lt;number&gt;14 August &lt;/number&gt;&lt;dates&gt;&lt;year&gt;(n.d)&lt;/year&gt;&lt;/dates&gt;&lt;urls&gt;&lt;related-urls&gt;&lt;url&gt;https://www.nice.org.uk/about/what-we-do/proportionate-approach-to-technology-appraisals&lt;/url&gt;&lt;/related-urls&gt;&lt;/urls&gt;&lt;/record&gt;&lt;/Cite&gt;&lt;/EndNote&gt;</w:instrText>
      </w:r>
      <w:r w:rsidR="007B773F" w:rsidRPr="00F46EF2">
        <w:rPr>
          <w:rFonts w:ascii="Times New Roman" w:eastAsia="ＭＳ Ｐ明朝" w:hAnsi="Times New Roman"/>
          <w:sz w:val="20"/>
          <w:szCs w:val="21"/>
        </w:rPr>
        <w:fldChar w:fldCharType="separate"/>
      </w:r>
      <w:r w:rsidR="005E33D6" w:rsidRPr="00F46EF2">
        <w:rPr>
          <w:rFonts w:ascii="Times New Roman" w:eastAsia="ＭＳ Ｐ明朝" w:hAnsi="Times New Roman"/>
          <w:noProof/>
          <w:sz w:val="20"/>
          <w:szCs w:val="21"/>
          <w:lang w:eastAsia="ja-JP"/>
        </w:rPr>
        <w:t>[66]</w:t>
      </w:r>
      <w:r w:rsidR="007B773F" w:rsidRPr="00F46EF2">
        <w:rPr>
          <w:rFonts w:ascii="Times New Roman" w:eastAsia="ＭＳ Ｐ明朝" w:hAnsi="Times New Roman"/>
          <w:sz w:val="20"/>
          <w:szCs w:val="21"/>
        </w:rPr>
        <w:fldChar w:fldCharType="end"/>
      </w:r>
      <w:r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現在、プロポーレイト・アプローチを用いて試験的に行われている</w:t>
      </w:r>
      <w:r w:rsidRPr="00F46EF2">
        <w:rPr>
          <w:rFonts w:ascii="Times New Roman" w:eastAsia="ＭＳ Ｐ明朝" w:hAnsi="Times New Roman"/>
          <w:sz w:val="20"/>
          <w:szCs w:val="21"/>
          <w:lang w:eastAsia="ja-JP"/>
        </w:rPr>
        <w:t>2</w:t>
      </w:r>
      <w:r w:rsidRPr="00F46EF2">
        <w:rPr>
          <w:rFonts w:ascii="Times New Roman" w:eastAsia="ＭＳ Ｐ明朝" w:hAnsi="Times New Roman"/>
          <w:sz w:val="20"/>
          <w:szCs w:val="21"/>
          <w:lang w:eastAsia="ja-JP"/>
        </w:rPr>
        <w:t>つの異なる手法／合理化されたアプローチには、</w:t>
      </w:r>
      <w:r w:rsidR="001A5230" w:rsidRPr="00F46EF2">
        <w:rPr>
          <w:rFonts w:ascii="Times New Roman" w:eastAsia="ＭＳ Ｐ明朝" w:hAnsi="Times New Roman"/>
          <w:sz w:val="20"/>
          <w:szCs w:val="21"/>
          <w:lang w:eastAsia="ja-JP"/>
        </w:rPr>
        <w:t>以下が含まれる</w:t>
      </w:r>
      <w:r w:rsidRPr="00F46EF2">
        <w:rPr>
          <w:rFonts w:ascii="Times New Roman" w:eastAsia="ＭＳ Ｐ明朝" w:hAnsi="Times New Roman"/>
          <w:sz w:val="20"/>
          <w:szCs w:val="21"/>
          <w:lang w:eastAsia="ja-JP"/>
        </w:rPr>
        <w:t>：コスト比較アプローチ（以前は「ファスト・トラック承認」と呼ばれていた）</w:t>
      </w:r>
      <w:r w:rsidR="001A5230" w:rsidRPr="00F46EF2">
        <w:rPr>
          <w:rFonts w:ascii="Times New Roman" w:eastAsia="ＭＳ Ｐ明朝" w:hAnsi="Times New Roman"/>
          <w:sz w:val="20"/>
          <w:szCs w:val="21"/>
          <w:lang w:eastAsia="ja-JP"/>
        </w:rPr>
        <w:t>、</w:t>
      </w:r>
      <w:r w:rsidRPr="00F46EF2">
        <w:rPr>
          <w:rFonts w:ascii="Times New Roman" w:eastAsia="ＭＳ Ｐ明朝" w:hAnsi="Times New Roman"/>
          <w:sz w:val="20"/>
          <w:szCs w:val="21"/>
          <w:lang w:eastAsia="ja-JP"/>
        </w:rPr>
        <w:t>コスト比較には適さないが、患者、</w:t>
      </w:r>
      <w:r w:rsidRPr="00F46EF2">
        <w:rPr>
          <w:rFonts w:ascii="Times New Roman" w:eastAsia="ＭＳ Ｐ明朝" w:hAnsi="Times New Roman"/>
          <w:sz w:val="20"/>
          <w:szCs w:val="21"/>
          <w:lang w:eastAsia="ja-JP"/>
        </w:rPr>
        <w:t>NHS</w:t>
      </w:r>
      <w:r w:rsidRPr="00F46EF2">
        <w:rPr>
          <w:rFonts w:ascii="Times New Roman" w:eastAsia="ＭＳ Ｐ明朝" w:hAnsi="Times New Roman"/>
          <w:sz w:val="20"/>
          <w:szCs w:val="21"/>
          <w:lang w:eastAsia="ja-JP"/>
        </w:rPr>
        <w:t>、利害関係者、</w:t>
      </w: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にとってリスクが低いと考えられる技術評価のための合理化された</w:t>
      </w:r>
      <w:r w:rsidR="009169C1" w:rsidRPr="00F46EF2">
        <w:rPr>
          <w:rFonts w:ascii="Times New Roman" w:eastAsia="ＭＳ Ｐ明朝" w:hAnsi="Times New Roman"/>
          <w:sz w:val="20"/>
          <w:szCs w:val="21"/>
          <w:lang w:eastAsia="ja-JP"/>
        </w:rPr>
        <w:t>意思決定</w:t>
      </w:r>
      <w:r w:rsidR="00D62FA0" w:rsidRPr="00F46EF2">
        <w:rPr>
          <w:rFonts w:ascii="Times New Roman" w:eastAsia="ＭＳ Ｐ明朝" w:hAnsi="Times New Roman"/>
          <w:sz w:val="20"/>
          <w:szCs w:val="21"/>
          <w:lang w:eastAsia="ja-JP"/>
        </w:rPr>
        <w:t>。</w:t>
      </w:r>
      <w:r w:rsidR="00D62FA0" w:rsidRPr="00F46EF2">
        <w:rPr>
          <w:rFonts w:ascii="Times New Roman" w:eastAsia="ＭＳ Ｐ明朝" w:hAnsi="Times New Roman"/>
          <w:sz w:val="20"/>
          <w:szCs w:val="21"/>
          <w:lang w:eastAsia="ja-JP"/>
        </w:rPr>
        <w:t xml:space="preserve"> </w:t>
      </w:r>
    </w:p>
    <w:p w14:paraId="4C968E21" w14:textId="77777777" w:rsidR="00FF745D" w:rsidRPr="00F46EF2" w:rsidRDefault="00000000">
      <w:pPr>
        <w:pStyle w:val="a3"/>
        <w:rPr>
          <w:rFonts w:ascii="Times New Roman" w:eastAsia="ＭＳ Ｐ明朝" w:hAnsi="Times New Roman"/>
          <w:sz w:val="20"/>
          <w:szCs w:val="21"/>
          <w:lang w:eastAsia="ja-JP"/>
        </w:rPr>
      </w:pPr>
      <w:r w:rsidRPr="00F46EF2">
        <w:rPr>
          <w:rFonts w:ascii="Times New Roman" w:eastAsia="ＭＳ Ｐ明朝" w:hAnsi="Times New Roman"/>
          <w:sz w:val="20"/>
          <w:szCs w:val="21"/>
          <w:lang w:eastAsia="ja-JP"/>
        </w:rPr>
        <w:t>NICE</w:t>
      </w:r>
      <w:r w:rsidRPr="00F46EF2">
        <w:rPr>
          <w:rFonts w:ascii="Times New Roman" w:eastAsia="ＭＳ Ｐ明朝" w:hAnsi="Times New Roman"/>
          <w:sz w:val="20"/>
          <w:szCs w:val="21"/>
          <w:lang w:eastAsia="ja-JP"/>
        </w:rPr>
        <w:t>は</w:t>
      </w:r>
      <w:r w:rsidR="001A5230" w:rsidRPr="00F46EF2">
        <w:rPr>
          <w:rFonts w:ascii="Times New Roman" w:eastAsia="ＭＳ Ｐ明朝" w:hAnsi="Times New Roman"/>
          <w:sz w:val="20"/>
          <w:szCs w:val="21"/>
          <w:lang w:eastAsia="ja-JP"/>
        </w:rPr>
        <w:t>また</w:t>
      </w:r>
      <w:r w:rsidRPr="00F46EF2">
        <w:rPr>
          <w:rFonts w:ascii="Times New Roman" w:eastAsia="ＭＳ Ｐ明朝" w:hAnsi="Times New Roman"/>
          <w:sz w:val="20"/>
          <w:szCs w:val="21"/>
          <w:lang w:eastAsia="ja-JP"/>
        </w:rPr>
        <w:t>、評価の開始時に特定の仮定をあらかじめ指定できないか、</w:t>
      </w:r>
      <w:r w:rsidR="001A5230" w:rsidRPr="00F46EF2">
        <w:rPr>
          <w:rFonts w:ascii="Times New Roman" w:eastAsia="ＭＳ Ｐ明朝" w:hAnsi="Times New Roman"/>
          <w:sz w:val="20"/>
          <w:szCs w:val="21"/>
          <w:lang w:eastAsia="ja-JP"/>
        </w:rPr>
        <w:t>また、</w:t>
      </w:r>
      <w:r w:rsidRPr="00F46EF2">
        <w:rPr>
          <w:rFonts w:ascii="Times New Roman" w:eastAsia="ＭＳ Ｐ明朝" w:hAnsi="Times New Roman"/>
          <w:sz w:val="20"/>
          <w:szCs w:val="21"/>
          <w:lang w:eastAsia="ja-JP"/>
        </w:rPr>
        <w:t>継続的な評価に使用するために、あらかじめ構築された経済モデルを使用できないかを検討しており、これは現在の単一技術評価から大きく逸脱したアプローチである。このアプローチは長期的な開発が必要であり、</w:t>
      </w:r>
      <w:r w:rsidR="003B439C" w:rsidRPr="00F46EF2">
        <w:rPr>
          <w:rFonts w:ascii="Times New Roman" w:eastAsia="ＭＳ Ｐ明朝" w:hAnsi="Times New Roman"/>
          <w:sz w:val="20"/>
          <w:szCs w:val="21"/>
          <w:lang w:eastAsia="ja-JP"/>
        </w:rPr>
        <w:t>現在、</w:t>
      </w:r>
      <w:r w:rsidRPr="00F46EF2">
        <w:rPr>
          <w:rFonts w:ascii="Times New Roman" w:eastAsia="ＭＳ Ｐ明朝" w:hAnsi="Times New Roman"/>
          <w:sz w:val="20"/>
          <w:szCs w:val="21"/>
          <w:lang w:eastAsia="ja-JP"/>
        </w:rPr>
        <w:t>腎細胞がんと非小細胞肺がんに使用される技術について、</w:t>
      </w:r>
      <w:r w:rsidR="003B439C" w:rsidRPr="00F46EF2">
        <w:rPr>
          <w:rFonts w:ascii="Times New Roman" w:eastAsia="ＭＳ Ｐ明朝" w:hAnsi="Times New Roman"/>
          <w:sz w:val="20"/>
          <w:szCs w:val="21"/>
          <w:lang w:eastAsia="ja-JP"/>
        </w:rPr>
        <w:t>2023</w:t>
      </w:r>
      <w:r w:rsidR="003B439C" w:rsidRPr="00F46EF2">
        <w:rPr>
          <w:rFonts w:ascii="Times New Roman" w:eastAsia="ＭＳ Ｐ明朝" w:hAnsi="Times New Roman"/>
          <w:sz w:val="20"/>
          <w:szCs w:val="21"/>
          <w:lang w:eastAsia="ja-JP"/>
        </w:rPr>
        <w:t>年から</w:t>
      </w:r>
      <w:r w:rsidR="003B439C" w:rsidRPr="00F46EF2">
        <w:rPr>
          <w:rFonts w:ascii="Times New Roman" w:eastAsia="ＭＳ Ｐ明朝" w:hAnsi="Times New Roman"/>
          <w:sz w:val="20"/>
          <w:szCs w:val="21"/>
          <w:lang w:eastAsia="ja-JP"/>
        </w:rPr>
        <w:t>24</w:t>
      </w:r>
      <w:r w:rsidR="003B439C" w:rsidRPr="00F46EF2">
        <w:rPr>
          <w:rFonts w:ascii="Times New Roman" w:eastAsia="ＭＳ Ｐ明朝" w:hAnsi="Times New Roman"/>
          <w:sz w:val="20"/>
          <w:szCs w:val="21"/>
          <w:lang w:eastAsia="ja-JP"/>
        </w:rPr>
        <w:t>年にかけて</w:t>
      </w:r>
      <w:r w:rsidRPr="00F46EF2">
        <w:rPr>
          <w:rFonts w:ascii="Times New Roman" w:eastAsia="ＭＳ Ｐ明朝" w:hAnsi="Times New Roman"/>
          <w:sz w:val="20"/>
          <w:szCs w:val="21"/>
          <w:lang w:eastAsia="ja-JP"/>
        </w:rPr>
        <w:t>試験的に実施されている。</w:t>
      </w:r>
      <w:r w:rsidRPr="00F46EF2">
        <w:rPr>
          <w:rFonts w:ascii="Times New Roman" w:eastAsia="ＭＳ Ｐ明朝" w:hAnsi="Times New Roman"/>
          <w:sz w:val="20"/>
          <w:szCs w:val="21"/>
          <w:lang w:eastAsia="ja-JP"/>
        </w:rPr>
        <w:t xml:space="preserve"> </w:t>
      </w:r>
      <w:bookmarkEnd w:id="1"/>
    </w:p>
    <w:sectPr w:rsidR="00FF745D" w:rsidRPr="00F46EF2" w:rsidSect="00F46EF2">
      <w:footerReference w:type="default" r:id="rId13"/>
      <w:pgSz w:w="11906" w:h="16838" w:code="9"/>
      <w:pgMar w:top="1418" w:right="1418" w:bottom="1418" w:left="1418" w:header="567" w:footer="680" w:gutter="0"/>
      <w:pgNumType w:start="1"/>
      <w:cols w:space="708"/>
      <w:docGrid w:type="linesAndChars" w:linePitch="350" w:char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E76D3" w14:textId="77777777" w:rsidR="005F42B6" w:rsidRDefault="005F42B6" w:rsidP="00185154">
      <w:r>
        <w:separator/>
      </w:r>
    </w:p>
    <w:p w14:paraId="1DA1652E" w14:textId="77777777" w:rsidR="005F42B6" w:rsidRDefault="005F42B6"/>
  </w:endnote>
  <w:endnote w:type="continuationSeparator" w:id="0">
    <w:p w14:paraId="22478E60" w14:textId="77777777" w:rsidR="005F42B6" w:rsidRDefault="005F42B6" w:rsidP="00185154">
      <w:r>
        <w:continuationSeparator/>
      </w:r>
    </w:p>
    <w:p w14:paraId="2E2DC3CE" w14:textId="77777777" w:rsidR="005F42B6" w:rsidRDefault="005F42B6"/>
  </w:endnote>
  <w:endnote w:type="continuationNotice" w:id="1">
    <w:p w14:paraId="7D2CC950" w14:textId="77777777" w:rsidR="005F42B6" w:rsidRDefault="005F4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F0EA1" w14:textId="15065D20" w:rsidR="00FF745D" w:rsidRDefault="00000000">
    <w:pPr>
      <w:pStyle w:val="ae"/>
    </w:pPr>
    <w:r w:rsidRPr="00A83E94">
      <w:rPr>
        <w:noProof/>
      </w:rPr>
      <mc:AlternateContent>
        <mc:Choice Requires="wps">
          <w:drawing>
            <wp:anchor distT="0" distB="0" distL="114300" distR="114300" simplePos="0" relativeHeight="251658240" behindDoc="0" locked="0" layoutInCell="1" allowOverlap="1" wp14:anchorId="1001B032" wp14:editId="302F5B6F">
              <wp:simplePos x="0" y="0"/>
              <wp:positionH relativeFrom="margin">
                <wp:posOffset>2621461</wp:posOffset>
              </wp:positionH>
              <wp:positionV relativeFrom="page">
                <wp:posOffset>9986010</wp:posOffset>
              </wp:positionV>
              <wp:extent cx="277200" cy="630000"/>
              <wp:effectExtent l="0" t="0" r="8890" b="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7200" cy="63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1CEB6" w14:textId="77777777" w:rsidR="00FF745D" w:rsidRDefault="00000000">
                          <w:pPr>
                            <w:jc w:val="center"/>
                          </w:pPr>
                          <w:r w:rsidRPr="00431F23">
                            <w:fldChar w:fldCharType="begin"/>
                          </w:r>
                          <w:r w:rsidRPr="00431F23">
                            <w:instrText xml:space="preserve"> PAGE  \* Arabic  \* MERGEFORMAT </w:instrText>
                          </w:r>
                          <w:r w:rsidRPr="00431F23">
                            <w:fldChar w:fldCharType="separate"/>
                          </w:r>
                          <w:r w:rsidRPr="00431F23">
                            <w:rPr>
                              <w:noProof/>
                            </w:rPr>
                            <w:t>3</w:t>
                          </w:r>
                          <w:r w:rsidRPr="00431F2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1B032" id="_x0000_t202" coordsize="21600,21600" o:spt="202" path="m,l,21600r21600,l21600,xe">
              <v:stroke joinstyle="miter"/>
              <v:path gradientshapeok="t" o:connecttype="rect"/>
            </v:shapetype>
            <v:shape id="Text Box 8" o:spid="_x0000_s1026" type="#_x0000_t202" alt="&quot;&quot;" style="position:absolute;margin-left:206.4pt;margin-top:786.3pt;width:21.85pt;height:4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" filled="f" stroked="f" strokeweight=".5pt">
              <v:textbox inset="0,0,0,0">
                <w:txbxContent>
                  <w:p w14:paraId="6831CEB6" w14:textId="77777777" w:rsidR="00FF745D" w:rsidRDefault="00000000">
                    <w:pPr>
                      <w:jc w:val="center"/>
                    </w:pPr>
                    <w:r w:rsidRPr="00431F23">
                      <w:fldChar w:fldCharType="begin"/>
                    </w:r>
                    <w:r w:rsidRPr="00431F23">
                      <w:instrText xml:space="preserve"> PAGE  \* Arabic  \* MERGEFORMAT </w:instrText>
                    </w:r>
                    <w:r w:rsidRPr="00431F23">
                      <w:fldChar w:fldCharType="separate"/>
                    </w:r>
                    <w:r w:rsidRPr="00431F23">
                      <w:rPr>
                        <w:noProof/>
                      </w:rPr>
                      <w:t>3</w:t>
                    </w:r>
                    <w:r w:rsidRPr="00431F23">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D470D" w14:textId="77777777" w:rsidR="005F42B6" w:rsidRPr="00C361AD" w:rsidRDefault="005F42B6" w:rsidP="00185154">
      <w:pPr>
        <w:rPr>
          <w:color w:val="0F4BEB" w:themeColor="accent1"/>
        </w:rPr>
      </w:pPr>
      <w:bookmarkStart w:id="0" w:name="_Hlk483310346"/>
      <w:bookmarkEnd w:id="0"/>
      <w:r w:rsidRPr="00C361AD">
        <w:rPr>
          <w:color w:val="0F4BEB" w:themeColor="accent1"/>
        </w:rPr>
        <w:separator/>
      </w:r>
    </w:p>
    <w:p w14:paraId="325B789E" w14:textId="77777777" w:rsidR="005F42B6" w:rsidRPr="00C361AD" w:rsidRDefault="005F42B6">
      <w:pPr>
        <w:rPr>
          <w:sz w:val="4"/>
          <w:szCs w:val="4"/>
        </w:rPr>
      </w:pPr>
    </w:p>
  </w:footnote>
  <w:footnote w:type="continuationSeparator" w:id="0">
    <w:p w14:paraId="7B7B1F18" w14:textId="77777777" w:rsidR="005F42B6" w:rsidRDefault="005F42B6" w:rsidP="00185154">
      <w:r>
        <w:continuationSeparator/>
      </w:r>
    </w:p>
    <w:p w14:paraId="3D64C60B" w14:textId="77777777" w:rsidR="005F42B6" w:rsidRDefault="005F42B6"/>
  </w:footnote>
  <w:footnote w:type="continuationNotice" w:id="1">
    <w:p w14:paraId="69288CF7" w14:textId="77777777" w:rsidR="005F42B6" w:rsidRDefault="005F42B6"/>
  </w:footnote>
  <w:footnote w:id="2">
    <w:p w14:paraId="0F43F66E" w14:textId="77777777" w:rsidR="00FF745D" w:rsidRDefault="00000000">
      <w:pPr>
        <w:pStyle w:val="afc"/>
        <w:rPr>
          <w:lang w:eastAsia="ja-JP"/>
        </w:rPr>
      </w:pPr>
      <w:r>
        <w:rPr>
          <w:rStyle w:val="aff"/>
        </w:rPr>
        <w:footnoteRef/>
      </w:r>
      <w:bookmarkStart w:id="8" w:name="_Hlk146874222"/>
      <w:r>
        <w:rPr>
          <w:lang w:eastAsia="ja-JP"/>
        </w:rPr>
        <w:t>リファレンスケースは、</w:t>
      </w:r>
      <w:r w:rsidRPr="002400B0">
        <w:rPr>
          <w:lang w:eastAsia="ja-JP"/>
        </w:rPr>
        <w:t>提出書類が準拠すべき</w:t>
      </w:r>
      <w:r w:rsidRPr="002400B0">
        <w:rPr>
          <w:lang w:eastAsia="ja-JP"/>
        </w:rPr>
        <w:t xml:space="preserve"> </w:t>
      </w:r>
      <w:r w:rsidRPr="002400B0">
        <w:rPr>
          <w:lang w:eastAsia="ja-JP"/>
        </w:rPr>
        <w:t>分析の基礎となる、受け入れ可能な方法と仮</w:t>
      </w:r>
      <w:r w:rsidRPr="002400B0">
        <w:rPr>
          <w:lang w:eastAsia="ja-JP"/>
        </w:rPr>
        <w:t xml:space="preserve"> </w:t>
      </w:r>
      <w:r w:rsidRPr="002400B0">
        <w:rPr>
          <w:lang w:eastAsia="ja-JP"/>
        </w:rPr>
        <w:t>定に関する正式な声明である</w:t>
      </w:r>
      <w:r>
        <w:rPr>
          <w:lang w:eastAsia="ja-JP"/>
        </w:rPr>
        <w:t>。</w:t>
      </w:r>
      <w:r w:rsidRPr="00CA0E3C">
        <w:rPr>
          <w:lang w:eastAsia="ja-JP"/>
        </w:rPr>
        <w:t>オーストラリア及び国際的な経済的不確実性の評価」の</w:t>
      </w:r>
      <w:r>
        <w:rPr>
          <w:lang w:eastAsia="ja-JP"/>
        </w:rPr>
        <w:t>項を参照。</w:t>
      </w:r>
      <w:r>
        <w:rPr>
          <w:lang w:eastAsia="ja-JP"/>
        </w:rPr>
        <w:t xml:space="preserve"> </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8C5"/>
    <w:multiLevelType w:val="multilevel"/>
    <w:tmpl w:val="4BE8981A"/>
    <w:styleLink w:val="ListParagraph"/>
    <w:lvl w:ilvl="0">
      <w:start w:val="1"/>
      <w:numFmt w:val="none"/>
      <w:pStyle w:val="a"/>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0B96E482"/>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18"/>
      </w:rPr>
    </w:lvl>
    <w:lvl w:ilvl="1">
      <w:start w:val="1"/>
      <w:numFmt w:val="lowerRoman"/>
      <w:pStyle w:val="ListAlpha2"/>
      <w:lvlText w:val="%2."/>
      <w:lvlJc w:val="left"/>
      <w:pPr>
        <w:tabs>
          <w:tab w:val="num" w:pos="850"/>
        </w:tabs>
        <w:ind w:left="850" w:hanging="425"/>
      </w:pPr>
      <w:rPr>
        <w:rFonts w:asciiTheme="minorHAnsi" w:hAnsiTheme="minorHAnsi" w:hint="default"/>
        <w:color w:val="auto"/>
        <w:sz w:val="18"/>
      </w:rPr>
    </w:lvl>
    <w:lvl w:ilvl="2">
      <w:start w:val="1"/>
      <w:numFmt w:val="decimal"/>
      <w:pStyle w:val="ListAlpha3"/>
      <w:lvlText w:val="%3."/>
      <w:lvlJc w:val="left"/>
      <w:pPr>
        <w:tabs>
          <w:tab w:val="num" w:pos="1275"/>
        </w:tabs>
        <w:ind w:left="1275" w:hanging="425"/>
      </w:pPr>
      <w:rPr>
        <w:rFonts w:asciiTheme="minorHAnsi" w:hAnsiTheme="minorHAnsi" w:hint="default"/>
        <w:color w:val="auto"/>
        <w:sz w:val="18"/>
      </w:rPr>
    </w:lvl>
    <w:lvl w:ilvl="3">
      <w:start w:val="1"/>
      <w:numFmt w:val="upperLetter"/>
      <w:pStyle w:val="ListAlpha4"/>
      <w:lvlText w:val="%4."/>
      <w:lvlJc w:val="left"/>
      <w:pPr>
        <w:tabs>
          <w:tab w:val="num" w:pos="1700"/>
        </w:tabs>
        <w:ind w:left="1700" w:hanging="425"/>
      </w:pPr>
      <w:rPr>
        <w:rFonts w:asciiTheme="minorHAnsi" w:hAnsiTheme="minorHAnsi" w:hint="default"/>
        <w:color w:val="auto"/>
        <w:sz w:val="18"/>
      </w:rPr>
    </w:lvl>
    <w:lvl w:ilvl="4">
      <w:start w:val="1"/>
      <w:numFmt w:val="upperRoman"/>
      <w:pStyle w:val="ListAlpha5"/>
      <w:lvlText w:val="%5."/>
      <w:lvlJc w:val="left"/>
      <w:pPr>
        <w:tabs>
          <w:tab w:val="num" w:pos="2125"/>
        </w:tabs>
        <w:ind w:left="2125" w:hanging="425"/>
      </w:pPr>
      <w:rPr>
        <w:rFonts w:asciiTheme="minorHAnsi" w:hAnsiTheme="minorHAnsi" w:hint="default"/>
        <w:color w:val="auto"/>
        <w:sz w:val="18"/>
      </w:rPr>
    </w:lvl>
    <w:lvl w:ilvl="5">
      <w:start w:val="1"/>
      <w:numFmt w:val="decimal"/>
      <w:pStyle w:val="ListAlpha6"/>
      <w:lvlText w:val="%6."/>
      <w:lvlJc w:val="left"/>
      <w:pPr>
        <w:tabs>
          <w:tab w:val="num" w:pos="2550"/>
        </w:tabs>
        <w:ind w:left="2550" w:hanging="425"/>
      </w:pPr>
      <w:rPr>
        <w:rFonts w:asciiTheme="minorHAnsi" w:hAnsiTheme="minorHAnsi" w:hint="default"/>
        <w:color w:val="auto"/>
        <w:sz w:val="18"/>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869548E"/>
    <w:multiLevelType w:val="multilevel"/>
    <w:tmpl w:val="B20035C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none"/>
      <w:lvlText w:val=""/>
      <w:lvlJc w:val="left"/>
      <w:pPr>
        <w:tabs>
          <w:tab w:val="num" w:pos="0"/>
        </w:tabs>
        <w:ind w:left="0" w:firstLine="0"/>
      </w:pPr>
      <w:rPr>
        <w:rFonts w:hint="default"/>
        <w:b/>
        <w:i w:val="0"/>
      </w:rPr>
    </w:lvl>
    <w:lvl w:ilvl="6">
      <w:start w:val="1"/>
      <w:numFmt w:val="none"/>
      <w:lvlText w:val=""/>
      <w:lvlJc w:val="left"/>
      <w:pPr>
        <w:ind w:left="0" w:firstLine="0"/>
      </w:pPr>
      <w:rPr>
        <w:rFonts w:hint="default"/>
        <w:u w:val="single"/>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C972FAA"/>
    <w:multiLevelType w:val="multilevel"/>
    <w:tmpl w:val="736ECFBA"/>
    <w:numStyleLink w:val="ListTableNumber"/>
  </w:abstractNum>
  <w:abstractNum w:abstractNumId="4"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Symbol" w:hAnsi="Symbol" w:hint="default"/>
        <w:color w:val="auto"/>
        <w:sz w:val="18"/>
      </w:rPr>
    </w:lvl>
    <w:lvl w:ilvl="1">
      <w:start w:val="1"/>
      <w:numFmt w:val="bullet"/>
      <w:pStyle w:val="TableBullet2"/>
      <w:lvlText w:val="–"/>
      <w:lvlJc w:val="left"/>
      <w:pPr>
        <w:tabs>
          <w:tab w:val="num" w:pos="680"/>
        </w:tabs>
        <w:ind w:left="680" w:hanging="283"/>
      </w:pPr>
      <w:rPr>
        <w:rFonts w:ascii="Arial" w:hAnsi="Arial"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0EB322B5"/>
    <w:multiLevelType w:val="hybridMultilevel"/>
    <w:tmpl w:val="56E876D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DD77F8"/>
    <w:multiLevelType w:val="hybridMultilevel"/>
    <w:tmpl w:val="A57273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B97078"/>
    <w:multiLevelType w:val="multilevel"/>
    <w:tmpl w:val="8D5C9A34"/>
    <w:styleLink w:val="ListChapter"/>
    <w:lvl w:ilvl="0">
      <w:start w:val="1"/>
      <w:numFmt w:val="cardinalText"/>
      <w:suff w:val="nothing"/>
      <w:lvlText w:val="Chapter %1"/>
      <w:lvlJc w:val="left"/>
      <w:pPr>
        <w:ind w:left="0" w:firstLine="0"/>
      </w:pPr>
      <w:rPr>
        <w:rFonts w:hint="default"/>
      </w:rPr>
    </w:lvl>
    <w:lvl w:ilvl="1">
      <w:start w:val="1"/>
      <w:numFmt w:val="none"/>
      <w:suff w:val="nothing"/>
      <w:lvlText w:val=""/>
      <w:lvlJc w:val="left"/>
      <w:pPr>
        <w:ind w:left="0" w:hanging="3276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69419C"/>
    <w:multiLevelType w:val="hybridMultilevel"/>
    <w:tmpl w:val="6D4A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20880"/>
    <w:multiLevelType w:val="hybridMultilevel"/>
    <w:tmpl w:val="A37E80F0"/>
    <w:lvl w:ilvl="0" w:tplc="F6CC7552">
      <w:start w:val="1"/>
      <w:numFmt w:val="bullet"/>
      <w:lvlText w:val="•"/>
      <w:lvlJc w:val="left"/>
      <w:pPr>
        <w:tabs>
          <w:tab w:val="num" w:pos="720"/>
        </w:tabs>
        <w:ind w:left="720" w:hanging="360"/>
      </w:pPr>
      <w:rPr>
        <w:rFonts w:ascii="Arial" w:hAnsi="Arial" w:hint="default"/>
      </w:rPr>
    </w:lvl>
    <w:lvl w:ilvl="1" w:tplc="3FAACE1C" w:tentative="1">
      <w:start w:val="1"/>
      <w:numFmt w:val="bullet"/>
      <w:lvlText w:val="•"/>
      <w:lvlJc w:val="left"/>
      <w:pPr>
        <w:tabs>
          <w:tab w:val="num" w:pos="1440"/>
        </w:tabs>
        <w:ind w:left="1440" w:hanging="360"/>
      </w:pPr>
      <w:rPr>
        <w:rFonts w:ascii="Arial" w:hAnsi="Arial" w:hint="default"/>
      </w:rPr>
    </w:lvl>
    <w:lvl w:ilvl="2" w:tplc="AA40F7B4" w:tentative="1">
      <w:start w:val="1"/>
      <w:numFmt w:val="bullet"/>
      <w:lvlText w:val="•"/>
      <w:lvlJc w:val="left"/>
      <w:pPr>
        <w:tabs>
          <w:tab w:val="num" w:pos="2160"/>
        </w:tabs>
        <w:ind w:left="2160" w:hanging="360"/>
      </w:pPr>
      <w:rPr>
        <w:rFonts w:ascii="Arial" w:hAnsi="Arial" w:hint="default"/>
      </w:rPr>
    </w:lvl>
    <w:lvl w:ilvl="3" w:tplc="602E321E" w:tentative="1">
      <w:start w:val="1"/>
      <w:numFmt w:val="bullet"/>
      <w:lvlText w:val="•"/>
      <w:lvlJc w:val="left"/>
      <w:pPr>
        <w:tabs>
          <w:tab w:val="num" w:pos="2880"/>
        </w:tabs>
        <w:ind w:left="2880" w:hanging="360"/>
      </w:pPr>
      <w:rPr>
        <w:rFonts w:ascii="Arial" w:hAnsi="Arial" w:hint="default"/>
      </w:rPr>
    </w:lvl>
    <w:lvl w:ilvl="4" w:tplc="29D681E2" w:tentative="1">
      <w:start w:val="1"/>
      <w:numFmt w:val="bullet"/>
      <w:lvlText w:val="•"/>
      <w:lvlJc w:val="left"/>
      <w:pPr>
        <w:tabs>
          <w:tab w:val="num" w:pos="3600"/>
        </w:tabs>
        <w:ind w:left="3600" w:hanging="360"/>
      </w:pPr>
      <w:rPr>
        <w:rFonts w:ascii="Arial" w:hAnsi="Arial" w:hint="default"/>
      </w:rPr>
    </w:lvl>
    <w:lvl w:ilvl="5" w:tplc="18C474B8" w:tentative="1">
      <w:start w:val="1"/>
      <w:numFmt w:val="bullet"/>
      <w:lvlText w:val="•"/>
      <w:lvlJc w:val="left"/>
      <w:pPr>
        <w:tabs>
          <w:tab w:val="num" w:pos="4320"/>
        </w:tabs>
        <w:ind w:left="4320" w:hanging="360"/>
      </w:pPr>
      <w:rPr>
        <w:rFonts w:ascii="Arial" w:hAnsi="Arial" w:hint="default"/>
      </w:rPr>
    </w:lvl>
    <w:lvl w:ilvl="6" w:tplc="4600EDFC" w:tentative="1">
      <w:start w:val="1"/>
      <w:numFmt w:val="bullet"/>
      <w:lvlText w:val="•"/>
      <w:lvlJc w:val="left"/>
      <w:pPr>
        <w:tabs>
          <w:tab w:val="num" w:pos="5040"/>
        </w:tabs>
        <w:ind w:left="5040" w:hanging="360"/>
      </w:pPr>
      <w:rPr>
        <w:rFonts w:ascii="Arial" w:hAnsi="Arial" w:hint="default"/>
      </w:rPr>
    </w:lvl>
    <w:lvl w:ilvl="7" w:tplc="5BECEDC4" w:tentative="1">
      <w:start w:val="1"/>
      <w:numFmt w:val="bullet"/>
      <w:lvlText w:val="•"/>
      <w:lvlJc w:val="left"/>
      <w:pPr>
        <w:tabs>
          <w:tab w:val="num" w:pos="5760"/>
        </w:tabs>
        <w:ind w:left="5760" w:hanging="360"/>
      </w:pPr>
      <w:rPr>
        <w:rFonts w:ascii="Arial" w:hAnsi="Arial" w:hint="default"/>
      </w:rPr>
    </w:lvl>
    <w:lvl w:ilvl="8" w:tplc="09C2DC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752BF3"/>
    <w:multiLevelType w:val="hybridMultilevel"/>
    <w:tmpl w:val="AF3C1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617FE"/>
    <w:multiLevelType w:val="hybridMultilevel"/>
    <w:tmpl w:val="2BA84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C29C5"/>
    <w:multiLevelType w:val="hybridMultilevel"/>
    <w:tmpl w:val="29D2BC9E"/>
    <w:lvl w:ilvl="0" w:tplc="74DE0662">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D1E4C"/>
    <w:multiLevelType w:val="hybridMultilevel"/>
    <w:tmpl w:val="0C845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741D40"/>
    <w:multiLevelType w:val="multilevel"/>
    <w:tmpl w:val="BE1CBCF8"/>
    <w:styleLink w:val="ListNumber"/>
    <w:lvl w:ilvl="0">
      <w:start w:val="1"/>
      <w:numFmt w:val="decimal"/>
      <w:pStyle w:val="a0"/>
      <w:lvlText w:val="%1."/>
      <w:lvlJc w:val="left"/>
      <w:pPr>
        <w:tabs>
          <w:tab w:val="num" w:pos="425"/>
        </w:tabs>
        <w:ind w:left="425" w:hanging="425"/>
      </w:pPr>
      <w:rPr>
        <w:rFonts w:asciiTheme="minorHAnsi" w:hAnsiTheme="minorHAnsi"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2"/>
      <w:lvlText w:val="%2."/>
      <w:lvlJc w:val="left"/>
      <w:pPr>
        <w:tabs>
          <w:tab w:val="num" w:pos="850"/>
        </w:tabs>
        <w:ind w:left="850" w:hanging="425"/>
      </w:pPr>
      <w:rPr>
        <w:rFonts w:asciiTheme="minorHAnsi" w:hAnsiTheme="minorHAnsi" w:hint="default"/>
        <w:b w:val="0"/>
        <w:i w:val="0"/>
        <w:color w:val="auto"/>
        <w:sz w:val="18"/>
      </w:rPr>
    </w:lvl>
    <w:lvl w:ilvl="2">
      <w:start w:val="1"/>
      <w:numFmt w:val="lowerRoman"/>
      <w:pStyle w:val="3"/>
      <w:lvlText w:val="%3."/>
      <w:lvlJc w:val="left"/>
      <w:pPr>
        <w:tabs>
          <w:tab w:val="num" w:pos="1275"/>
        </w:tabs>
        <w:ind w:left="1275" w:hanging="425"/>
      </w:pPr>
      <w:rPr>
        <w:rFonts w:asciiTheme="minorHAnsi" w:hAnsiTheme="minorHAnsi" w:hint="default"/>
        <w:b w:val="0"/>
        <w:i w:val="0"/>
        <w:color w:val="auto"/>
        <w:sz w:val="18"/>
      </w:rPr>
    </w:lvl>
    <w:lvl w:ilvl="3">
      <w:start w:val="1"/>
      <w:numFmt w:val="upperLetter"/>
      <w:pStyle w:val="4"/>
      <w:lvlText w:val="%4."/>
      <w:lvlJc w:val="left"/>
      <w:pPr>
        <w:tabs>
          <w:tab w:val="num" w:pos="1700"/>
        </w:tabs>
        <w:ind w:left="1700" w:hanging="425"/>
      </w:pPr>
      <w:rPr>
        <w:rFonts w:asciiTheme="minorHAnsi" w:hAnsiTheme="minorHAnsi" w:hint="default"/>
        <w:b w:val="0"/>
        <w:i w:val="0"/>
        <w:color w:val="auto"/>
        <w:sz w:val="18"/>
      </w:rPr>
    </w:lvl>
    <w:lvl w:ilvl="4">
      <w:start w:val="1"/>
      <w:numFmt w:val="upperRoman"/>
      <w:pStyle w:val="5"/>
      <w:lvlText w:val="%5."/>
      <w:lvlJc w:val="left"/>
      <w:pPr>
        <w:tabs>
          <w:tab w:val="num" w:pos="2125"/>
        </w:tabs>
        <w:ind w:left="2125" w:hanging="425"/>
      </w:pPr>
      <w:rPr>
        <w:rFonts w:asciiTheme="minorHAnsi" w:hAnsiTheme="minorHAnsi" w:hint="default"/>
        <w:b w:val="0"/>
        <w:i w:val="0"/>
        <w:color w:val="auto"/>
        <w:sz w:val="18"/>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18"/>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5" w15:restartNumberingAfterBreak="0">
    <w:nsid w:val="28352BC3"/>
    <w:multiLevelType w:val="hybridMultilevel"/>
    <w:tmpl w:val="B060EF4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5755A6"/>
    <w:multiLevelType w:val="hybridMultilevel"/>
    <w:tmpl w:val="0228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5504B"/>
    <w:multiLevelType w:val="hybridMultilevel"/>
    <w:tmpl w:val="53A4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D816A40"/>
    <w:multiLevelType w:val="hybridMultilevel"/>
    <w:tmpl w:val="1C182058"/>
    <w:lvl w:ilvl="0" w:tplc="4CFA653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E4B9B"/>
    <w:multiLevelType w:val="hybridMultilevel"/>
    <w:tmpl w:val="5CD0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1F262D"/>
    <w:multiLevelType w:val="hybridMultilevel"/>
    <w:tmpl w:val="284EB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C10286"/>
    <w:multiLevelType w:val="hybridMultilevel"/>
    <w:tmpl w:val="A57273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16146D"/>
    <w:multiLevelType w:val="hybridMultilevel"/>
    <w:tmpl w:val="AE3A5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3912ED"/>
    <w:multiLevelType w:val="multilevel"/>
    <w:tmpl w:val="ADF89CCA"/>
    <w:styleLink w:val="ListBullet"/>
    <w:lvl w:ilvl="0">
      <w:start w:val="1"/>
      <w:numFmt w:val="bullet"/>
      <w:pStyle w:val="a1"/>
      <w:lvlText w:val=""/>
      <w:lvlJc w:val="left"/>
      <w:pPr>
        <w:tabs>
          <w:tab w:val="num" w:pos="425"/>
        </w:tabs>
        <w:ind w:left="425" w:hanging="425"/>
      </w:pPr>
      <w:rPr>
        <w:rFonts w:ascii="Symbol" w:hAnsi="Symbol" w:hint="default"/>
        <w:b w:val="0"/>
        <w:i w:val="0"/>
        <w:color w:val="auto"/>
        <w:sz w:val="18"/>
        <w:szCs w:val="20"/>
      </w:rPr>
    </w:lvl>
    <w:lvl w:ilvl="1">
      <w:start w:val="1"/>
      <w:numFmt w:val="bullet"/>
      <w:pStyle w:val="20"/>
      <w:lvlText w:val="–"/>
      <w:lvlJc w:val="left"/>
      <w:pPr>
        <w:tabs>
          <w:tab w:val="num" w:pos="850"/>
        </w:tabs>
        <w:ind w:left="850" w:hanging="425"/>
      </w:pPr>
      <w:rPr>
        <w:rFonts w:asciiTheme="minorHAnsi" w:hAnsiTheme="minorHAnsi" w:hint="default"/>
        <w:caps w:val="0"/>
        <w:strike w:val="0"/>
        <w:dstrike w:val="0"/>
        <w:vanish w:val="0"/>
        <w:color w:val="auto"/>
        <w:sz w:val="18"/>
        <w:u w:val="none"/>
        <w:vertAlign w:val="baseline"/>
      </w:rPr>
    </w:lvl>
    <w:lvl w:ilvl="2">
      <w:start w:val="1"/>
      <w:numFmt w:val="bullet"/>
      <w:pStyle w:val="30"/>
      <w:lvlText w:val=""/>
      <w:lvlJc w:val="left"/>
      <w:pPr>
        <w:tabs>
          <w:tab w:val="num" w:pos="1275"/>
        </w:tabs>
        <w:ind w:left="1275" w:hanging="425"/>
      </w:pPr>
      <w:rPr>
        <w:rFonts w:ascii="Symbol" w:hAnsi="Symbol" w:hint="default"/>
        <w:color w:val="auto"/>
        <w:sz w:val="18"/>
      </w:rPr>
    </w:lvl>
    <w:lvl w:ilvl="3">
      <w:start w:val="1"/>
      <w:numFmt w:val="bullet"/>
      <w:pStyle w:val="40"/>
      <w:lvlText w:val="–"/>
      <w:lvlJc w:val="left"/>
      <w:pPr>
        <w:tabs>
          <w:tab w:val="num" w:pos="1700"/>
        </w:tabs>
        <w:ind w:left="1700" w:hanging="425"/>
      </w:pPr>
      <w:rPr>
        <w:rFonts w:asciiTheme="minorHAnsi" w:hAnsiTheme="minorHAnsi" w:hint="default"/>
        <w:caps w:val="0"/>
        <w:strike w:val="0"/>
        <w:dstrike w:val="0"/>
        <w:vanish w:val="0"/>
        <w:color w:val="auto"/>
        <w:sz w:val="18"/>
        <w:u w:val="none"/>
        <w:vertAlign w:val="baseline"/>
      </w:rPr>
    </w:lvl>
    <w:lvl w:ilvl="4">
      <w:start w:val="1"/>
      <w:numFmt w:val="bullet"/>
      <w:pStyle w:val="50"/>
      <w:lvlText w:val=""/>
      <w:lvlJc w:val="left"/>
      <w:pPr>
        <w:tabs>
          <w:tab w:val="num" w:pos="2125"/>
        </w:tabs>
        <w:ind w:left="2125" w:hanging="425"/>
      </w:pPr>
      <w:rPr>
        <w:rFonts w:ascii="Symbol" w:hAnsi="Symbol" w:hint="default"/>
        <w:color w:val="auto"/>
        <w:sz w:val="18"/>
      </w:rPr>
    </w:lvl>
    <w:lvl w:ilvl="5">
      <w:start w:val="1"/>
      <w:numFmt w:val="bullet"/>
      <w:pStyle w:val="ListBullet6"/>
      <w:lvlText w:val="–"/>
      <w:lvlJc w:val="left"/>
      <w:pPr>
        <w:tabs>
          <w:tab w:val="num" w:pos="2550"/>
        </w:tabs>
        <w:ind w:left="2550" w:hanging="425"/>
      </w:pPr>
      <w:rPr>
        <w:rFonts w:asciiTheme="minorHAnsi" w:hAnsiTheme="minorHAnsi" w:cs="Times New Roman" w:hint="default"/>
        <w:caps w:val="0"/>
        <w:strike w:val="0"/>
        <w:dstrike w:val="0"/>
        <w:vanish w:val="0"/>
        <w:color w:val="auto"/>
        <w:sz w:val="18"/>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24" w15:restartNumberingAfterBreak="0">
    <w:nsid w:val="358562B8"/>
    <w:multiLevelType w:val="multilevel"/>
    <w:tmpl w:val="AC86465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4F284A"/>
    <w:multiLevelType w:val="hybridMultilevel"/>
    <w:tmpl w:val="D43EEC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8A4090"/>
    <w:multiLevelType w:val="hybridMultilevel"/>
    <w:tmpl w:val="E5442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264329"/>
    <w:multiLevelType w:val="hybridMultilevel"/>
    <w:tmpl w:val="0A64E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A85B3E"/>
    <w:multiLevelType w:val="hybridMultilevel"/>
    <w:tmpl w:val="A57273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0071FAE"/>
    <w:multiLevelType w:val="multilevel"/>
    <w:tmpl w:val="9D625AA6"/>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F4BEB" w:themeColor="accent1"/>
      </w:rPr>
    </w:lvl>
    <w:lvl w:ilvl="1">
      <w:start w:val="1"/>
      <w:numFmt w:val="decimal"/>
      <w:pStyle w:val="NbrHeading2"/>
      <w:lvlText w:val="%1.%2"/>
      <w:lvlJc w:val="left"/>
      <w:pPr>
        <w:tabs>
          <w:tab w:val="num" w:pos="1134"/>
        </w:tabs>
        <w:ind w:left="1134" w:hanging="1134"/>
      </w:pPr>
      <w:rPr>
        <w:rFonts w:asciiTheme="majorHAnsi" w:hAnsiTheme="majorHAnsi" w:hint="default"/>
        <w:color w:val="0F4BEB" w:themeColor="accent1"/>
      </w:rPr>
    </w:lvl>
    <w:lvl w:ilvl="2">
      <w:start w:val="1"/>
      <w:numFmt w:val="decimal"/>
      <w:pStyle w:val="NbrHeading3"/>
      <w:lvlText w:val="%1.%2.%3"/>
      <w:lvlJc w:val="left"/>
      <w:pPr>
        <w:tabs>
          <w:tab w:val="num" w:pos="1134"/>
        </w:tabs>
        <w:ind w:left="1134" w:hanging="1134"/>
      </w:pPr>
      <w:rPr>
        <w:rFonts w:asciiTheme="majorHAnsi" w:hAnsiTheme="majorHAnsi" w:hint="default"/>
        <w:color w:val="auto"/>
      </w:rPr>
    </w:lvl>
    <w:lvl w:ilvl="3">
      <w:start w:val="1"/>
      <w:numFmt w:val="decimal"/>
      <w:pStyle w:val="NbrHeading4"/>
      <w:lvlText w:val="%1.%2.%3.%4"/>
      <w:lvlJc w:val="left"/>
      <w:pPr>
        <w:tabs>
          <w:tab w:val="num" w:pos="1134"/>
        </w:tabs>
        <w:ind w:left="1134" w:hanging="1134"/>
      </w:pPr>
      <w:rPr>
        <w:rFonts w:asciiTheme="majorHAnsi" w:hAnsiTheme="majorHAnsi" w:hint="default"/>
        <w:color w:val="auto"/>
        <w:sz w:val="18"/>
      </w:rPr>
    </w:lvl>
    <w:lvl w:ilvl="4">
      <w:start w:val="1"/>
      <w:numFmt w:val="decimal"/>
      <w:pStyle w:val="Nbr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42904FB0"/>
    <w:multiLevelType w:val="hybridMultilevel"/>
    <w:tmpl w:val="A8203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0B0BB5"/>
    <w:multiLevelType w:val="hybridMultilevel"/>
    <w:tmpl w:val="C56AE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D83D9B"/>
    <w:multiLevelType w:val="hybridMultilevel"/>
    <w:tmpl w:val="4290F2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0871E6"/>
    <w:multiLevelType w:val="hybridMultilevel"/>
    <w:tmpl w:val="4F9E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4012AC"/>
    <w:multiLevelType w:val="multilevel"/>
    <w:tmpl w:val="ADF89CCA"/>
    <w:numStyleLink w:val="ListBullet"/>
  </w:abstractNum>
  <w:abstractNum w:abstractNumId="35" w15:restartNumberingAfterBreak="0">
    <w:nsid w:val="483E2B4C"/>
    <w:multiLevelType w:val="multilevel"/>
    <w:tmpl w:val="F78A1DCA"/>
    <w:numStyleLink w:val="ListTableBullet"/>
  </w:abstractNum>
  <w:abstractNum w:abstractNumId="36" w15:restartNumberingAfterBreak="0">
    <w:nsid w:val="491444D7"/>
    <w:multiLevelType w:val="hybridMultilevel"/>
    <w:tmpl w:val="5B32E7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AE16BA9"/>
    <w:multiLevelType w:val="hybridMultilevel"/>
    <w:tmpl w:val="FA34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AA52CF"/>
    <w:multiLevelType w:val="hybridMultilevel"/>
    <w:tmpl w:val="83058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ECB7C6D"/>
    <w:multiLevelType w:val="hybridMultilevel"/>
    <w:tmpl w:val="8B40A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D60377"/>
    <w:multiLevelType w:val="hybridMultilevel"/>
    <w:tmpl w:val="3ED8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743BF1"/>
    <w:multiLevelType w:val="hybridMultilevel"/>
    <w:tmpl w:val="B8EA8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B432C2"/>
    <w:multiLevelType w:val="hybridMultilevel"/>
    <w:tmpl w:val="F53E04D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6636D94"/>
    <w:multiLevelType w:val="hybridMultilevel"/>
    <w:tmpl w:val="07E4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AC7634"/>
    <w:multiLevelType w:val="hybridMultilevel"/>
    <w:tmpl w:val="189A4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AC8032F"/>
    <w:multiLevelType w:val="hybridMultilevel"/>
    <w:tmpl w:val="B0C06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CE2059C"/>
    <w:multiLevelType w:val="multilevel"/>
    <w:tmpl w:val="4BE8981A"/>
    <w:numStyleLink w:val="ListParagraph"/>
  </w:abstractNum>
  <w:abstractNum w:abstractNumId="47" w15:restartNumberingAfterBreak="0">
    <w:nsid w:val="5D3B7A78"/>
    <w:multiLevelType w:val="hybridMultilevel"/>
    <w:tmpl w:val="384AB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6F3269"/>
    <w:multiLevelType w:val="hybridMultilevel"/>
    <w:tmpl w:val="008AFDF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DAF4745"/>
    <w:multiLevelType w:val="hybridMultilevel"/>
    <w:tmpl w:val="5A9EB5AE"/>
    <w:lvl w:ilvl="0" w:tplc="0C090001">
      <w:start w:val="1"/>
      <w:numFmt w:val="bullet"/>
      <w:lvlText w:val=""/>
      <w:lvlJc w:val="left"/>
      <w:pPr>
        <w:ind w:left="842" w:hanging="360"/>
      </w:pPr>
      <w:rPr>
        <w:rFonts w:ascii="Symbol" w:hAnsi="Symbol" w:hint="default"/>
      </w:rPr>
    </w:lvl>
    <w:lvl w:ilvl="1" w:tplc="0C090003">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50" w15:restartNumberingAfterBreak="0">
    <w:nsid w:val="6169358E"/>
    <w:multiLevelType w:val="hybridMultilevel"/>
    <w:tmpl w:val="8326E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2" w15:restartNumberingAfterBreak="0">
    <w:nsid w:val="66B74E31"/>
    <w:multiLevelType w:val="hybridMultilevel"/>
    <w:tmpl w:val="B39E4F1E"/>
    <w:lvl w:ilvl="0" w:tplc="E14CA68E">
      <w:start w:val="1"/>
      <w:numFmt w:val="bullet"/>
      <w:lvlText w:val="•"/>
      <w:lvlJc w:val="left"/>
      <w:pPr>
        <w:tabs>
          <w:tab w:val="num" w:pos="720"/>
        </w:tabs>
        <w:ind w:left="720" w:hanging="360"/>
      </w:pPr>
      <w:rPr>
        <w:rFonts w:ascii="Arial" w:hAnsi="Arial" w:hint="default"/>
      </w:rPr>
    </w:lvl>
    <w:lvl w:ilvl="1" w:tplc="A094D9E4">
      <w:numFmt w:val="bullet"/>
      <w:lvlText w:val="-"/>
      <w:lvlJc w:val="left"/>
      <w:pPr>
        <w:ind w:left="1440" w:hanging="360"/>
      </w:pPr>
      <w:rPr>
        <w:rFonts w:ascii="Calibri Light" w:eastAsia="Times New Roman" w:hAnsi="Calibri Light" w:cs="Calibri Light" w:hint="default"/>
      </w:rPr>
    </w:lvl>
    <w:lvl w:ilvl="2" w:tplc="8B48BFA8" w:tentative="1">
      <w:start w:val="1"/>
      <w:numFmt w:val="bullet"/>
      <w:lvlText w:val="•"/>
      <w:lvlJc w:val="left"/>
      <w:pPr>
        <w:tabs>
          <w:tab w:val="num" w:pos="2160"/>
        </w:tabs>
        <w:ind w:left="2160" w:hanging="360"/>
      </w:pPr>
      <w:rPr>
        <w:rFonts w:ascii="Arial" w:hAnsi="Arial" w:hint="default"/>
      </w:rPr>
    </w:lvl>
    <w:lvl w:ilvl="3" w:tplc="04AC933A" w:tentative="1">
      <w:start w:val="1"/>
      <w:numFmt w:val="bullet"/>
      <w:lvlText w:val="•"/>
      <w:lvlJc w:val="left"/>
      <w:pPr>
        <w:tabs>
          <w:tab w:val="num" w:pos="2880"/>
        </w:tabs>
        <w:ind w:left="2880" w:hanging="360"/>
      </w:pPr>
      <w:rPr>
        <w:rFonts w:ascii="Arial" w:hAnsi="Arial" w:hint="default"/>
      </w:rPr>
    </w:lvl>
    <w:lvl w:ilvl="4" w:tplc="9A32036E" w:tentative="1">
      <w:start w:val="1"/>
      <w:numFmt w:val="bullet"/>
      <w:lvlText w:val="•"/>
      <w:lvlJc w:val="left"/>
      <w:pPr>
        <w:tabs>
          <w:tab w:val="num" w:pos="3600"/>
        </w:tabs>
        <w:ind w:left="3600" w:hanging="360"/>
      </w:pPr>
      <w:rPr>
        <w:rFonts w:ascii="Arial" w:hAnsi="Arial" w:hint="default"/>
      </w:rPr>
    </w:lvl>
    <w:lvl w:ilvl="5" w:tplc="EB50E668" w:tentative="1">
      <w:start w:val="1"/>
      <w:numFmt w:val="bullet"/>
      <w:lvlText w:val="•"/>
      <w:lvlJc w:val="left"/>
      <w:pPr>
        <w:tabs>
          <w:tab w:val="num" w:pos="4320"/>
        </w:tabs>
        <w:ind w:left="4320" w:hanging="360"/>
      </w:pPr>
      <w:rPr>
        <w:rFonts w:ascii="Arial" w:hAnsi="Arial" w:hint="default"/>
      </w:rPr>
    </w:lvl>
    <w:lvl w:ilvl="6" w:tplc="BFDAB778" w:tentative="1">
      <w:start w:val="1"/>
      <w:numFmt w:val="bullet"/>
      <w:lvlText w:val="•"/>
      <w:lvlJc w:val="left"/>
      <w:pPr>
        <w:tabs>
          <w:tab w:val="num" w:pos="5040"/>
        </w:tabs>
        <w:ind w:left="5040" w:hanging="360"/>
      </w:pPr>
      <w:rPr>
        <w:rFonts w:ascii="Arial" w:hAnsi="Arial" w:hint="default"/>
      </w:rPr>
    </w:lvl>
    <w:lvl w:ilvl="7" w:tplc="FFA622CC" w:tentative="1">
      <w:start w:val="1"/>
      <w:numFmt w:val="bullet"/>
      <w:lvlText w:val="•"/>
      <w:lvlJc w:val="left"/>
      <w:pPr>
        <w:tabs>
          <w:tab w:val="num" w:pos="5760"/>
        </w:tabs>
        <w:ind w:left="5760" w:hanging="360"/>
      </w:pPr>
      <w:rPr>
        <w:rFonts w:ascii="Arial" w:hAnsi="Arial" w:hint="default"/>
      </w:rPr>
    </w:lvl>
    <w:lvl w:ilvl="8" w:tplc="4878AC3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79C14FB"/>
    <w:multiLevelType w:val="hybridMultilevel"/>
    <w:tmpl w:val="26AE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356871"/>
    <w:multiLevelType w:val="multilevel"/>
    <w:tmpl w:val="9D625AA6"/>
    <w:numStyleLink w:val="ListNumberedHeadings"/>
  </w:abstractNum>
  <w:abstractNum w:abstractNumId="55" w15:restartNumberingAfterBreak="0">
    <w:nsid w:val="6B3E7DFA"/>
    <w:multiLevelType w:val="hybridMultilevel"/>
    <w:tmpl w:val="B67C3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C0E2506"/>
    <w:multiLevelType w:val="hybridMultilevel"/>
    <w:tmpl w:val="284EB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E3F2F1A"/>
    <w:multiLevelType w:val="hybridMultilevel"/>
    <w:tmpl w:val="5B089D2E"/>
    <w:lvl w:ilvl="0" w:tplc="90E2B0CC">
      <w:start w:val="1"/>
      <w:numFmt w:val="bullet"/>
      <w:lvlText w:val="•"/>
      <w:lvlJc w:val="left"/>
      <w:pPr>
        <w:tabs>
          <w:tab w:val="num" w:pos="720"/>
        </w:tabs>
        <w:ind w:left="720" w:hanging="360"/>
      </w:pPr>
      <w:rPr>
        <w:rFonts w:ascii="Arial" w:hAnsi="Arial" w:hint="default"/>
      </w:rPr>
    </w:lvl>
    <w:lvl w:ilvl="1" w:tplc="2CC25488" w:tentative="1">
      <w:start w:val="1"/>
      <w:numFmt w:val="bullet"/>
      <w:lvlText w:val="•"/>
      <w:lvlJc w:val="left"/>
      <w:pPr>
        <w:tabs>
          <w:tab w:val="num" w:pos="1440"/>
        </w:tabs>
        <w:ind w:left="1440" w:hanging="360"/>
      </w:pPr>
      <w:rPr>
        <w:rFonts w:ascii="Arial" w:hAnsi="Arial" w:hint="default"/>
      </w:rPr>
    </w:lvl>
    <w:lvl w:ilvl="2" w:tplc="5D285FB8" w:tentative="1">
      <w:start w:val="1"/>
      <w:numFmt w:val="bullet"/>
      <w:lvlText w:val="•"/>
      <w:lvlJc w:val="left"/>
      <w:pPr>
        <w:tabs>
          <w:tab w:val="num" w:pos="2160"/>
        </w:tabs>
        <w:ind w:left="2160" w:hanging="360"/>
      </w:pPr>
      <w:rPr>
        <w:rFonts w:ascii="Arial" w:hAnsi="Arial" w:hint="default"/>
      </w:rPr>
    </w:lvl>
    <w:lvl w:ilvl="3" w:tplc="7B54CC38" w:tentative="1">
      <w:start w:val="1"/>
      <w:numFmt w:val="bullet"/>
      <w:lvlText w:val="•"/>
      <w:lvlJc w:val="left"/>
      <w:pPr>
        <w:tabs>
          <w:tab w:val="num" w:pos="2880"/>
        </w:tabs>
        <w:ind w:left="2880" w:hanging="360"/>
      </w:pPr>
      <w:rPr>
        <w:rFonts w:ascii="Arial" w:hAnsi="Arial" w:hint="default"/>
      </w:rPr>
    </w:lvl>
    <w:lvl w:ilvl="4" w:tplc="0DC0E906" w:tentative="1">
      <w:start w:val="1"/>
      <w:numFmt w:val="bullet"/>
      <w:lvlText w:val="•"/>
      <w:lvlJc w:val="left"/>
      <w:pPr>
        <w:tabs>
          <w:tab w:val="num" w:pos="3600"/>
        </w:tabs>
        <w:ind w:left="3600" w:hanging="360"/>
      </w:pPr>
      <w:rPr>
        <w:rFonts w:ascii="Arial" w:hAnsi="Arial" w:hint="default"/>
      </w:rPr>
    </w:lvl>
    <w:lvl w:ilvl="5" w:tplc="430C75FE" w:tentative="1">
      <w:start w:val="1"/>
      <w:numFmt w:val="bullet"/>
      <w:lvlText w:val="•"/>
      <w:lvlJc w:val="left"/>
      <w:pPr>
        <w:tabs>
          <w:tab w:val="num" w:pos="4320"/>
        </w:tabs>
        <w:ind w:left="4320" w:hanging="360"/>
      </w:pPr>
      <w:rPr>
        <w:rFonts w:ascii="Arial" w:hAnsi="Arial" w:hint="default"/>
      </w:rPr>
    </w:lvl>
    <w:lvl w:ilvl="6" w:tplc="22988F02" w:tentative="1">
      <w:start w:val="1"/>
      <w:numFmt w:val="bullet"/>
      <w:lvlText w:val="•"/>
      <w:lvlJc w:val="left"/>
      <w:pPr>
        <w:tabs>
          <w:tab w:val="num" w:pos="5040"/>
        </w:tabs>
        <w:ind w:left="5040" w:hanging="360"/>
      </w:pPr>
      <w:rPr>
        <w:rFonts w:ascii="Arial" w:hAnsi="Arial" w:hint="default"/>
      </w:rPr>
    </w:lvl>
    <w:lvl w:ilvl="7" w:tplc="B06A8734" w:tentative="1">
      <w:start w:val="1"/>
      <w:numFmt w:val="bullet"/>
      <w:lvlText w:val="•"/>
      <w:lvlJc w:val="left"/>
      <w:pPr>
        <w:tabs>
          <w:tab w:val="num" w:pos="5760"/>
        </w:tabs>
        <w:ind w:left="5760" w:hanging="360"/>
      </w:pPr>
      <w:rPr>
        <w:rFonts w:ascii="Arial" w:hAnsi="Arial" w:hint="default"/>
      </w:rPr>
    </w:lvl>
    <w:lvl w:ilvl="8" w:tplc="777A12E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0832182"/>
    <w:multiLevelType w:val="hybridMultilevel"/>
    <w:tmpl w:val="5692B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3B94600"/>
    <w:multiLevelType w:val="multilevel"/>
    <w:tmpl w:val="0B96E482"/>
    <w:numStyleLink w:val="ListAlpha"/>
  </w:abstractNum>
  <w:abstractNum w:abstractNumId="60" w15:restartNumberingAfterBreak="0">
    <w:nsid w:val="78A648CB"/>
    <w:multiLevelType w:val="hybridMultilevel"/>
    <w:tmpl w:val="AEE03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35CFF84">
      <w:numFmt w:val="bullet"/>
      <w:lvlText w:val="•"/>
      <w:lvlJc w:val="left"/>
      <w:pPr>
        <w:ind w:left="2520" w:hanging="720"/>
      </w:pPr>
      <w:rPr>
        <w:rFonts w:ascii="Calibri" w:eastAsia="Times New Roman"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9470CD"/>
    <w:multiLevelType w:val="hybridMultilevel"/>
    <w:tmpl w:val="3844F448"/>
    <w:lvl w:ilvl="0" w:tplc="0C090013">
      <w:start w:val="1"/>
      <w:numFmt w:val="upperRoman"/>
      <w:lvlText w:val="%1."/>
      <w:lvlJc w:val="righ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A84F7B"/>
    <w:multiLevelType w:val="multilevel"/>
    <w:tmpl w:val="BE1CBCF8"/>
    <w:numStyleLink w:val="ListNumber"/>
  </w:abstractNum>
  <w:abstractNum w:abstractNumId="63" w15:restartNumberingAfterBreak="0">
    <w:nsid w:val="7ADE6583"/>
    <w:multiLevelType w:val="hybridMultilevel"/>
    <w:tmpl w:val="E08E24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F0B18E5"/>
    <w:multiLevelType w:val="hybridMultilevel"/>
    <w:tmpl w:val="8582323C"/>
    <w:lvl w:ilvl="0" w:tplc="73D09740">
      <w:start w:val="1"/>
      <w:numFmt w:val="bullet"/>
      <w:lvlText w:val="•"/>
      <w:lvlJc w:val="left"/>
      <w:pPr>
        <w:tabs>
          <w:tab w:val="num" w:pos="720"/>
        </w:tabs>
        <w:ind w:left="720" w:hanging="360"/>
      </w:pPr>
      <w:rPr>
        <w:rFonts w:ascii="Arial" w:hAnsi="Arial" w:hint="default"/>
      </w:rPr>
    </w:lvl>
    <w:lvl w:ilvl="1" w:tplc="F1DC242A" w:tentative="1">
      <w:start w:val="1"/>
      <w:numFmt w:val="bullet"/>
      <w:lvlText w:val="•"/>
      <w:lvlJc w:val="left"/>
      <w:pPr>
        <w:tabs>
          <w:tab w:val="num" w:pos="1440"/>
        </w:tabs>
        <w:ind w:left="1440" w:hanging="360"/>
      </w:pPr>
      <w:rPr>
        <w:rFonts w:ascii="Arial" w:hAnsi="Arial" w:hint="default"/>
      </w:rPr>
    </w:lvl>
    <w:lvl w:ilvl="2" w:tplc="B0CC1272" w:tentative="1">
      <w:start w:val="1"/>
      <w:numFmt w:val="bullet"/>
      <w:lvlText w:val="•"/>
      <w:lvlJc w:val="left"/>
      <w:pPr>
        <w:tabs>
          <w:tab w:val="num" w:pos="2160"/>
        </w:tabs>
        <w:ind w:left="2160" w:hanging="360"/>
      </w:pPr>
      <w:rPr>
        <w:rFonts w:ascii="Arial" w:hAnsi="Arial" w:hint="default"/>
      </w:rPr>
    </w:lvl>
    <w:lvl w:ilvl="3" w:tplc="F33ABA10" w:tentative="1">
      <w:start w:val="1"/>
      <w:numFmt w:val="bullet"/>
      <w:lvlText w:val="•"/>
      <w:lvlJc w:val="left"/>
      <w:pPr>
        <w:tabs>
          <w:tab w:val="num" w:pos="2880"/>
        </w:tabs>
        <w:ind w:left="2880" w:hanging="360"/>
      </w:pPr>
      <w:rPr>
        <w:rFonts w:ascii="Arial" w:hAnsi="Arial" w:hint="default"/>
      </w:rPr>
    </w:lvl>
    <w:lvl w:ilvl="4" w:tplc="67E4F32A" w:tentative="1">
      <w:start w:val="1"/>
      <w:numFmt w:val="bullet"/>
      <w:lvlText w:val="•"/>
      <w:lvlJc w:val="left"/>
      <w:pPr>
        <w:tabs>
          <w:tab w:val="num" w:pos="3600"/>
        </w:tabs>
        <w:ind w:left="3600" w:hanging="360"/>
      </w:pPr>
      <w:rPr>
        <w:rFonts w:ascii="Arial" w:hAnsi="Arial" w:hint="default"/>
      </w:rPr>
    </w:lvl>
    <w:lvl w:ilvl="5" w:tplc="1E34027A" w:tentative="1">
      <w:start w:val="1"/>
      <w:numFmt w:val="bullet"/>
      <w:lvlText w:val="•"/>
      <w:lvlJc w:val="left"/>
      <w:pPr>
        <w:tabs>
          <w:tab w:val="num" w:pos="4320"/>
        </w:tabs>
        <w:ind w:left="4320" w:hanging="360"/>
      </w:pPr>
      <w:rPr>
        <w:rFonts w:ascii="Arial" w:hAnsi="Arial" w:hint="default"/>
      </w:rPr>
    </w:lvl>
    <w:lvl w:ilvl="6" w:tplc="5F6AE344" w:tentative="1">
      <w:start w:val="1"/>
      <w:numFmt w:val="bullet"/>
      <w:lvlText w:val="•"/>
      <w:lvlJc w:val="left"/>
      <w:pPr>
        <w:tabs>
          <w:tab w:val="num" w:pos="5040"/>
        </w:tabs>
        <w:ind w:left="5040" w:hanging="360"/>
      </w:pPr>
      <w:rPr>
        <w:rFonts w:ascii="Arial" w:hAnsi="Arial" w:hint="default"/>
      </w:rPr>
    </w:lvl>
    <w:lvl w:ilvl="7" w:tplc="4BC2A2D4" w:tentative="1">
      <w:start w:val="1"/>
      <w:numFmt w:val="bullet"/>
      <w:lvlText w:val="•"/>
      <w:lvlJc w:val="left"/>
      <w:pPr>
        <w:tabs>
          <w:tab w:val="num" w:pos="5760"/>
        </w:tabs>
        <w:ind w:left="5760" w:hanging="360"/>
      </w:pPr>
      <w:rPr>
        <w:rFonts w:ascii="Arial" w:hAnsi="Arial" w:hint="default"/>
      </w:rPr>
    </w:lvl>
    <w:lvl w:ilvl="8" w:tplc="37447F34" w:tentative="1">
      <w:start w:val="1"/>
      <w:numFmt w:val="bullet"/>
      <w:lvlText w:val="•"/>
      <w:lvlJc w:val="left"/>
      <w:pPr>
        <w:tabs>
          <w:tab w:val="num" w:pos="6480"/>
        </w:tabs>
        <w:ind w:left="6480" w:hanging="360"/>
      </w:pPr>
      <w:rPr>
        <w:rFonts w:ascii="Arial" w:hAnsi="Arial" w:hint="default"/>
      </w:rPr>
    </w:lvl>
  </w:abstractNum>
  <w:num w:numId="1" w16cid:durableId="1570073535">
    <w:abstractNumId w:val="1"/>
  </w:num>
  <w:num w:numId="2" w16cid:durableId="1396590340">
    <w:abstractNumId w:val="23"/>
  </w:num>
  <w:num w:numId="3" w16cid:durableId="1419324353">
    <w:abstractNumId w:val="14"/>
  </w:num>
  <w:num w:numId="4" w16cid:durableId="1275402822">
    <w:abstractNumId w:val="29"/>
  </w:num>
  <w:num w:numId="5" w16cid:durableId="1392342413">
    <w:abstractNumId w:val="0"/>
  </w:num>
  <w:num w:numId="6" w16cid:durableId="726228244">
    <w:abstractNumId w:val="4"/>
  </w:num>
  <w:num w:numId="7" w16cid:durableId="1630277914">
    <w:abstractNumId w:val="51"/>
  </w:num>
  <w:num w:numId="8" w16cid:durableId="1130705683">
    <w:abstractNumId w:val="59"/>
  </w:num>
  <w:num w:numId="9" w16cid:durableId="1737430450">
    <w:abstractNumId w:val="34"/>
  </w:num>
  <w:num w:numId="10" w16cid:durableId="1241215834">
    <w:abstractNumId w:val="62"/>
  </w:num>
  <w:num w:numId="11" w16cid:durableId="213934999">
    <w:abstractNumId w:val="46"/>
  </w:num>
  <w:num w:numId="12" w16cid:durableId="98331320">
    <w:abstractNumId w:val="35"/>
  </w:num>
  <w:num w:numId="13" w16cid:durableId="1502041720">
    <w:abstractNumId w:val="3"/>
  </w:num>
  <w:num w:numId="14" w16cid:durableId="393048760">
    <w:abstractNumId w:val="7"/>
  </w:num>
  <w:num w:numId="15" w16cid:durableId="507018973">
    <w:abstractNumId w:val="54"/>
    <w:lvlOverride w:ilvl="0">
      <w:lvl w:ilvl="0">
        <w:numFmt w:val="decimal"/>
        <w:pStyle w:val="NbrHeading1"/>
        <w:lvlText w:val=""/>
        <w:lvlJc w:val="left"/>
      </w:lvl>
    </w:lvlOverride>
    <w:lvlOverride w:ilvl="1">
      <w:lvl w:ilvl="1">
        <w:start w:val="1"/>
        <w:numFmt w:val="decimal"/>
        <w:pStyle w:val="NbrHeading2"/>
        <w:lvlText w:val="%1.%2"/>
        <w:lvlJc w:val="left"/>
        <w:pPr>
          <w:tabs>
            <w:tab w:val="num" w:pos="1134"/>
          </w:tabs>
          <w:ind w:left="1134" w:hanging="1134"/>
        </w:pPr>
        <w:rPr>
          <w:rFonts w:asciiTheme="majorHAnsi" w:hAnsiTheme="majorHAnsi" w:hint="default"/>
          <w:color w:val="auto"/>
        </w:rPr>
      </w:lvl>
    </w:lvlOverride>
  </w:num>
  <w:num w:numId="16" w16cid:durableId="975522500">
    <w:abstractNumId w:val="20"/>
  </w:num>
  <w:num w:numId="17" w16cid:durableId="1937980009">
    <w:abstractNumId w:val="60"/>
  </w:num>
  <w:num w:numId="18" w16cid:durableId="80179248">
    <w:abstractNumId w:val="17"/>
  </w:num>
  <w:num w:numId="19" w16cid:durableId="195243523">
    <w:abstractNumId w:val="56"/>
  </w:num>
  <w:num w:numId="20" w16cid:durableId="986134076">
    <w:abstractNumId w:val="49"/>
  </w:num>
  <w:num w:numId="21" w16cid:durableId="919365724">
    <w:abstractNumId w:val="50"/>
  </w:num>
  <w:num w:numId="22" w16cid:durableId="2145389009">
    <w:abstractNumId w:val="22"/>
  </w:num>
  <w:num w:numId="23" w16cid:durableId="1158157511">
    <w:abstractNumId w:val="19"/>
  </w:num>
  <w:num w:numId="24" w16cid:durableId="1636912900">
    <w:abstractNumId w:val="11"/>
  </w:num>
  <w:num w:numId="25" w16cid:durableId="1573003753">
    <w:abstractNumId w:val="31"/>
  </w:num>
  <w:num w:numId="26" w16cid:durableId="624501708">
    <w:abstractNumId w:val="44"/>
  </w:num>
  <w:num w:numId="27" w16cid:durableId="1958100175">
    <w:abstractNumId w:val="2"/>
  </w:num>
  <w:num w:numId="28" w16cid:durableId="1702130330">
    <w:abstractNumId w:val="9"/>
  </w:num>
  <w:num w:numId="29" w16cid:durableId="1086342975">
    <w:abstractNumId w:val="64"/>
  </w:num>
  <w:num w:numId="30" w16cid:durableId="2139908361">
    <w:abstractNumId w:val="57"/>
  </w:num>
  <w:num w:numId="31" w16cid:durableId="1530683218">
    <w:abstractNumId w:val="52"/>
  </w:num>
  <w:num w:numId="32" w16cid:durableId="1460874101">
    <w:abstractNumId w:val="27"/>
  </w:num>
  <w:num w:numId="33" w16cid:durableId="1078333239">
    <w:abstractNumId w:val="26"/>
  </w:num>
  <w:num w:numId="34" w16cid:durableId="536967079">
    <w:abstractNumId w:val="43"/>
  </w:num>
  <w:num w:numId="35" w16cid:durableId="579995183">
    <w:abstractNumId w:val="45"/>
  </w:num>
  <w:num w:numId="36" w16cid:durableId="1856269054">
    <w:abstractNumId w:val="58"/>
  </w:num>
  <w:num w:numId="37" w16cid:durableId="1571311168">
    <w:abstractNumId w:val="63"/>
  </w:num>
  <w:num w:numId="38" w16cid:durableId="1124419754">
    <w:abstractNumId w:val="25"/>
  </w:num>
  <w:num w:numId="39" w16cid:durableId="2016030236">
    <w:abstractNumId w:val="28"/>
  </w:num>
  <w:num w:numId="40" w16cid:durableId="1619143292">
    <w:abstractNumId w:val="12"/>
  </w:num>
  <w:num w:numId="41" w16cid:durableId="1838423651">
    <w:abstractNumId w:val="30"/>
  </w:num>
  <w:num w:numId="42" w16cid:durableId="195434256">
    <w:abstractNumId w:val="15"/>
  </w:num>
  <w:num w:numId="43" w16cid:durableId="283316815">
    <w:abstractNumId w:val="32"/>
  </w:num>
  <w:num w:numId="44" w16cid:durableId="839196356">
    <w:abstractNumId w:val="40"/>
  </w:num>
  <w:num w:numId="45" w16cid:durableId="1145397192">
    <w:abstractNumId w:val="53"/>
  </w:num>
  <w:num w:numId="46" w16cid:durableId="1649169935">
    <w:abstractNumId w:val="24"/>
  </w:num>
  <w:num w:numId="47" w16cid:durableId="1124613568">
    <w:abstractNumId w:val="55"/>
  </w:num>
  <w:num w:numId="48" w16cid:durableId="1705010780">
    <w:abstractNumId w:val="37"/>
  </w:num>
  <w:num w:numId="49" w16cid:durableId="560604951">
    <w:abstractNumId w:val="16"/>
  </w:num>
  <w:num w:numId="50" w16cid:durableId="1261640640">
    <w:abstractNumId w:val="62"/>
    <w:lvlOverride w:ilvl="0">
      <w:lvl w:ilvl="0">
        <w:start w:val="1"/>
        <w:numFmt w:val="decimal"/>
        <w:pStyle w:val="a0"/>
        <w:lvlText w:val="%1."/>
        <w:lvlJc w:val="left"/>
        <w:pPr>
          <w:tabs>
            <w:tab w:val="num" w:pos="425"/>
          </w:tabs>
          <w:ind w:left="425" w:hanging="425"/>
        </w:pPr>
        <w:rPr>
          <w:rFonts w:asciiTheme="minorHAnsi" w:hAnsiTheme="minorHAnsi"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pStyle w:val="2"/>
        <w:lvlText w:val="%2."/>
        <w:lvlJc w:val="left"/>
        <w:pPr>
          <w:tabs>
            <w:tab w:val="num" w:pos="850"/>
          </w:tabs>
          <w:ind w:left="850" w:hanging="425"/>
        </w:pPr>
        <w:rPr>
          <w:rFonts w:asciiTheme="minorHAnsi" w:hAnsiTheme="minorHAnsi" w:hint="default"/>
          <w:b w:val="0"/>
          <w:i w:val="0"/>
          <w:color w:val="auto"/>
          <w:sz w:val="18"/>
        </w:rPr>
      </w:lvl>
    </w:lvlOverride>
    <w:lvlOverride w:ilvl="2">
      <w:lvl w:ilvl="2">
        <w:start w:val="1"/>
        <w:numFmt w:val="lowerRoman"/>
        <w:pStyle w:val="3"/>
        <w:lvlText w:val="%3."/>
        <w:lvlJc w:val="left"/>
        <w:pPr>
          <w:tabs>
            <w:tab w:val="num" w:pos="1275"/>
          </w:tabs>
          <w:ind w:left="1275" w:hanging="425"/>
        </w:pPr>
        <w:rPr>
          <w:rFonts w:asciiTheme="minorHAnsi" w:hAnsiTheme="minorHAnsi" w:hint="default"/>
          <w:b w:val="0"/>
          <w:i w:val="0"/>
          <w:color w:val="auto"/>
          <w:sz w:val="18"/>
        </w:rPr>
      </w:lvl>
    </w:lvlOverride>
    <w:lvlOverride w:ilvl="3">
      <w:lvl w:ilvl="3">
        <w:start w:val="1"/>
        <w:numFmt w:val="upperLetter"/>
        <w:pStyle w:val="4"/>
        <w:lvlText w:val="%4."/>
        <w:lvlJc w:val="left"/>
        <w:pPr>
          <w:tabs>
            <w:tab w:val="num" w:pos="1700"/>
          </w:tabs>
          <w:ind w:left="1700" w:hanging="425"/>
        </w:pPr>
        <w:rPr>
          <w:rFonts w:asciiTheme="minorHAnsi" w:hAnsiTheme="minorHAnsi" w:hint="default"/>
          <w:b w:val="0"/>
          <w:i w:val="0"/>
          <w:color w:val="auto"/>
          <w:sz w:val="18"/>
        </w:rPr>
      </w:lvl>
    </w:lvlOverride>
    <w:lvlOverride w:ilvl="4">
      <w:lvl w:ilvl="4">
        <w:start w:val="1"/>
        <w:numFmt w:val="upperRoman"/>
        <w:pStyle w:val="5"/>
        <w:lvlText w:val="%5."/>
        <w:lvlJc w:val="left"/>
        <w:pPr>
          <w:tabs>
            <w:tab w:val="num" w:pos="2125"/>
          </w:tabs>
          <w:ind w:left="2125" w:hanging="425"/>
        </w:pPr>
        <w:rPr>
          <w:rFonts w:asciiTheme="minorHAnsi" w:hAnsiTheme="minorHAnsi" w:hint="default"/>
          <w:b w:val="0"/>
          <w:i w:val="0"/>
          <w:color w:val="auto"/>
          <w:sz w:val="18"/>
        </w:rPr>
      </w:lvl>
    </w:lvlOverride>
    <w:lvlOverride w:ilvl="5">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18"/>
        </w:rPr>
      </w:lvl>
    </w:lvlOverride>
    <w:lvlOverride w:ilvl="6">
      <w:lvl w:ilvl="6">
        <w:start w:val="1"/>
        <w:numFmt w:val="none"/>
        <w:suff w:val="nothing"/>
        <w:lvlText w:val="%7"/>
        <w:lvlJc w:val="left"/>
        <w:pPr>
          <w:ind w:left="2975" w:hanging="425"/>
        </w:pPr>
        <w:rPr>
          <w:rFonts w:hint="default"/>
          <w:color w:val="E1001A"/>
        </w:rPr>
      </w:lvl>
    </w:lvlOverride>
    <w:lvlOverride w:ilvl="7">
      <w:lvl w:ilvl="7">
        <w:start w:val="1"/>
        <w:numFmt w:val="none"/>
        <w:suff w:val="nothing"/>
        <w:lvlText w:val="%8"/>
        <w:lvlJc w:val="left"/>
        <w:pPr>
          <w:ind w:left="3400" w:hanging="425"/>
        </w:pPr>
        <w:rPr>
          <w:rFonts w:hint="default"/>
          <w:color w:val="E1001A"/>
          <w:sz w:val="20"/>
        </w:rPr>
      </w:lvl>
    </w:lvlOverride>
    <w:lvlOverride w:ilvl="8">
      <w:lvl w:ilvl="8">
        <w:start w:val="1"/>
        <w:numFmt w:val="none"/>
        <w:suff w:val="nothing"/>
        <w:lvlText w:val="%9"/>
        <w:lvlJc w:val="left"/>
        <w:pPr>
          <w:ind w:left="3825" w:hanging="425"/>
        </w:pPr>
        <w:rPr>
          <w:rFonts w:hint="default"/>
          <w:color w:val="E1001A"/>
        </w:rPr>
      </w:lvl>
    </w:lvlOverride>
  </w:num>
  <w:num w:numId="51" w16cid:durableId="1010181001">
    <w:abstractNumId w:val="61"/>
  </w:num>
  <w:num w:numId="52" w16cid:durableId="1933053697">
    <w:abstractNumId w:val="39"/>
  </w:num>
  <w:num w:numId="53" w16cid:durableId="578827582">
    <w:abstractNumId w:val="42"/>
  </w:num>
  <w:num w:numId="54" w16cid:durableId="925190002">
    <w:abstractNumId w:val="18"/>
  </w:num>
  <w:num w:numId="55" w16cid:durableId="289558417">
    <w:abstractNumId w:val="8"/>
  </w:num>
  <w:num w:numId="56" w16cid:durableId="193810744">
    <w:abstractNumId w:val="47"/>
  </w:num>
  <w:num w:numId="57" w16cid:durableId="1912080369">
    <w:abstractNumId w:val="41"/>
  </w:num>
  <w:num w:numId="58" w16cid:durableId="1418870219">
    <w:abstractNumId w:val="6"/>
  </w:num>
  <w:num w:numId="59" w16cid:durableId="744573314">
    <w:abstractNumId w:val="21"/>
  </w:num>
  <w:num w:numId="60" w16cid:durableId="1202743444">
    <w:abstractNumId w:val="36"/>
  </w:num>
  <w:num w:numId="61" w16cid:durableId="1013800396">
    <w:abstractNumId w:val="5"/>
  </w:num>
  <w:num w:numId="62" w16cid:durableId="2105879594">
    <w:abstractNumId w:val="48"/>
  </w:num>
  <w:num w:numId="63" w16cid:durableId="931817675">
    <w:abstractNumId w:val="10"/>
  </w:num>
  <w:num w:numId="64" w16cid:durableId="687409770">
    <w:abstractNumId w:val="38"/>
  </w:num>
  <w:num w:numId="65" w16cid:durableId="2073430322">
    <w:abstractNumId w:val="10"/>
  </w:num>
  <w:num w:numId="66" w16cid:durableId="1519195736">
    <w:abstractNumId w:val="13"/>
  </w:num>
  <w:num w:numId="67" w16cid:durableId="1683969692">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75"/>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5xddsz659sshedpdu5pda3dswx20f99sf9&quot;&gt;Draft working library_20230814&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6&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10&lt;/item&gt;&lt;item&gt;112&lt;/item&gt;&lt;item&gt;114&lt;/item&gt;&lt;item&gt;116&lt;/item&gt;&lt;item&gt;117&lt;/item&gt;&lt;item&gt;119&lt;/item&gt;&lt;item&gt;120&lt;/item&gt;&lt;item&gt;130&lt;/item&gt;&lt;item&gt;131&lt;/item&gt;&lt;item&gt;133&lt;/item&gt;&lt;item&gt;135&lt;/item&gt;&lt;item&gt;139&lt;/item&gt;&lt;item&gt;140&lt;/item&gt;&lt;item&gt;141&lt;/item&gt;&lt;item&gt;142&lt;/item&gt;&lt;item&gt;143&lt;/item&gt;&lt;item&gt;144&lt;/item&gt;&lt;item&gt;148&lt;/item&gt;&lt;item&gt;152&lt;/item&gt;&lt;item&gt;153&lt;/item&gt;&lt;item&gt;157&lt;/item&gt;&lt;item&gt;159&lt;/item&gt;&lt;item&gt;162&lt;/item&gt;&lt;item&gt;163&lt;/item&gt;&lt;item&gt;169&lt;/item&gt;&lt;item&gt;172&lt;/item&gt;&lt;item&gt;176&lt;/item&gt;&lt;item&gt;182&lt;/item&gt;&lt;item&gt;185&lt;/item&gt;&lt;item&gt;190&lt;/item&gt;&lt;item&gt;191&lt;/item&gt;&lt;item&gt;192&lt;/item&gt;&lt;item&gt;193&lt;/item&gt;&lt;item&gt;196&lt;/item&gt;&lt;item&gt;199&lt;/item&gt;&lt;item&gt;202&lt;/item&gt;&lt;item&gt;203&lt;/item&gt;&lt;item&gt;205&lt;/item&gt;&lt;item&gt;208&lt;/item&gt;&lt;item&gt;209&lt;/item&gt;&lt;item&gt;210&lt;/item&gt;&lt;item&gt;211&lt;/item&gt;&lt;item&gt;212&lt;/item&gt;&lt;item&gt;213&lt;/item&gt;&lt;item&gt;216&lt;/item&gt;&lt;item&gt;227&lt;/item&gt;&lt;item&gt;229&lt;/item&gt;&lt;item&gt;231&lt;/item&gt;&lt;item&gt;233&lt;/item&gt;&lt;item&gt;237&lt;/item&gt;&lt;item&gt;238&lt;/item&gt;&lt;item&gt;240&lt;/item&gt;&lt;item&gt;241&lt;/item&gt;&lt;item&gt;242&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4&lt;/item&gt;&lt;item&gt;293&lt;/item&gt;&lt;item&gt;294&lt;/item&gt;&lt;item&gt;307&lt;/item&gt;&lt;item&gt;310&lt;/item&gt;&lt;item&gt;320&lt;/item&gt;&lt;item&gt;324&lt;/item&gt;&lt;item&gt;328&lt;/item&gt;&lt;item&gt;331&lt;/item&gt;&lt;item&gt;340&lt;/item&gt;&lt;item&gt;344&lt;/item&gt;&lt;item&gt;346&lt;/item&gt;&lt;item&gt;347&lt;/item&gt;&lt;item&gt;348&lt;/item&gt;&lt;item&gt;349&lt;/item&gt;&lt;item&gt;350&lt;/item&gt;&lt;item&gt;351&lt;/item&gt;&lt;item&gt;352&lt;/item&gt;&lt;item&gt;353&lt;/item&gt;&lt;item&gt;355&lt;/item&gt;&lt;item&gt;356&lt;/item&gt;&lt;item&gt;357&lt;/item&gt;&lt;item&gt;358&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5&lt;/item&gt;&lt;item&gt;376&lt;/item&gt;&lt;item&gt;377&lt;/item&gt;&lt;item&gt;380&lt;/item&gt;&lt;item&gt;383&lt;/item&gt;&lt;item&gt;396&lt;/item&gt;&lt;item&gt;397&lt;/item&gt;&lt;item&gt;398&lt;/item&gt;&lt;item&gt;399&lt;/item&gt;&lt;item&gt;400&lt;/item&gt;&lt;item&gt;402&lt;/item&gt;&lt;item&gt;405&lt;/item&gt;&lt;item&gt;406&lt;/item&gt;&lt;item&gt;408&lt;/item&gt;&lt;item&gt;412&lt;/item&gt;&lt;item&gt;413&lt;/item&gt;&lt;item&gt;414&lt;/item&gt;&lt;item&gt;416&lt;/item&gt;&lt;item&gt;418&lt;/item&gt;&lt;item&gt;419&lt;/item&gt;&lt;item&gt;420&lt;/item&gt;&lt;item&gt;421&lt;/item&gt;&lt;item&gt;423&lt;/item&gt;&lt;item&gt;424&lt;/item&gt;&lt;item&gt;425&lt;/item&gt;&lt;item&gt;428&lt;/item&gt;&lt;item&gt;429&lt;/item&gt;&lt;item&gt;430&lt;/item&gt;&lt;item&gt;431&lt;/item&gt;&lt;item&gt;432&lt;/item&gt;&lt;item&gt;433&lt;/item&gt;&lt;item&gt;434&lt;/item&gt;&lt;item&gt;435&lt;/item&gt;&lt;item&gt;436&lt;/item&gt;&lt;item&gt;438&lt;/item&gt;&lt;/record-ids&gt;&lt;/item&gt;&lt;/Libraries&gt;"/>
  </w:docVars>
  <w:rsids>
    <w:rsidRoot w:val="00FC410C"/>
    <w:rsid w:val="00000081"/>
    <w:rsid w:val="00000361"/>
    <w:rsid w:val="0000048A"/>
    <w:rsid w:val="0000073F"/>
    <w:rsid w:val="000009F0"/>
    <w:rsid w:val="00000A3B"/>
    <w:rsid w:val="0000106D"/>
    <w:rsid w:val="00001391"/>
    <w:rsid w:val="000017B4"/>
    <w:rsid w:val="00002164"/>
    <w:rsid w:val="000022BE"/>
    <w:rsid w:val="000023C0"/>
    <w:rsid w:val="00002A1D"/>
    <w:rsid w:val="00002B2B"/>
    <w:rsid w:val="00002CA5"/>
    <w:rsid w:val="00002D2A"/>
    <w:rsid w:val="00002D99"/>
    <w:rsid w:val="00002F26"/>
    <w:rsid w:val="00003322"/>
    <w:rsid w:val="000036CE"/>
    <w:rsid w:val="00003E55"/>
    <w:rsid w:val="00004287"/>
    <w:rsid w:val="0000470B"/>
    <w:rsid w:val="000048D7"/>
    <w:rsid w:val="00004903"/>
    <w:rsid w:val="000049F3"/>
    <w:rsid w:val="00004AFF"/>
    <w:rsid w:val="000051F8"/>
    <w:rsid w:val="00005749"/>
    <w:rsid w:val="00005AF6"/>
    <w:rsid w:val="00005E6D"/>
    <w:rsid w:val="00005ED1"/>
    <w:rsid w:val="00005FEE"/>
    <w:rsid w:val="00006094"/>
    <w:rsid w:val="00006100"/>
    <w:rsid w:val="00006731"/>
    <w:rsid w:val="00006963"/>
    <w:rsid w:val="00006ACC"/>
    <w:rsid w:val="00006E9F"/>
    <w:rsid w:val="00006EFB"/>
    <w:rsid w:val="00007363"/>
    <w:rsid w:val="00007385"/>
    <w:rsid w:val="00007885"/>
    <w:rsid w:val="0000797C"/>
    <w:rsid w:val="00007C9B"/>
    <w:rsid w:val="00007EC6"/>
    <w:rsid w:val="00010916"/>
    <w:rsid w:val="00010947"/>
    <w:rsid w:val="00011142"/>
    <w:rsid w:val="00011928"/>
    <w:rsid w:val="0001198F"/>
    <w:rsid w:val="00011AF0"/>
    <w:rsid w:val="00011CCC"/>
    <w:rsid w:val="00011F49"/>
    <w:rsid w:val="000122BC"/>
    <w:rsid w:val="0001243D"/>
    <w:rsid w:val="00012538"/>
    <w:rsid w:val="000129BB"/>
    <w:rsid w:val="000129E5"/>
    <w:rsid w:val="00012AD6"/>
    <w:rsid w:val="00012F4E"/>
    <w:rsid w:val="000133DE"/>
    <w:rsid w:val="00013457"/>
    <w:rsid w:val="00013483"/>
    <w:rsid w:val="00013954"/>
    <w:rsid w:val="00013B80"/>
    <w:rsid w:val="00013FBA"/>
    <w:rsid w:val="000142CD"/>
    <w:rsid w:val="0001450A"/>
    <w:rsid w:val="00014B58"/>
    <w:rsid w:val="00014D6B"/>
    <w:rsid w:val="00014F90"/>
    <w:rsid w:val="00014FD7"/>
    <w:rsid w:val="0001505C"/>
    <w:rsid w:val="00015095"/>
    <w:rsid w:val="00015198"/>
    <w:rsid w:val="00015A10"/>
    <w:rsid w:val="00015E77"/>
    <w:rsid w:val="00015FBF"/>
    <w:rsid w:val="0001601D"/>
    <w:rsid w:val="00016093"/>
    <w:rsid w:val="0001613D"/>
    <w:rsid w:val="000162DB"/>
    <w:rsid w:val="00016636"/>
    <w:rsid w:val="00016663"/>
    <w:rsid w:val="00016DE5"/>
    <w:rsid w:val="000171B8"/>
    <w:rsid w:val="00017624"/>
    <w:rsid w:val="000176B4"/>
    <w:rsid w:val="000176EC"/>
    <w:rsid w:val="0001796F"/>
    <w:rsid w:val="00017A00"/>
    <w:rsid w:val="00017EFB"/>
    <w:rsid w:val="00017F07"/>
    <w:rsid w:val="00017FAD"/>
    <w:rsid w:val="00020243"/>
    <w:rsid w:val="00020778"/>
    <w:rsid w:val="00020966"/>
    <w:rsid w:val="00020B11"/>
    <w:rsid w:val="00020CA9"/>
    <w:rsid w:val="00021396"/>
    <w:rsid w:val="00021437"/>
    <w:rsid w:val="00021582"/>
    <w:rsid w:val="0002187B"/>
    <w:rsid w:val="00021F1D"/>
    <w:rsid w:val="000226D6"/>
    <w:rsid w:val="00022B0A"/>
    <w:rsid w:val="00022B4C"/>
    <w:rsid w:val="000233A9"/>
    <w:rsid w:val="00023953"/>
    <w:rsid w:val="00023B4B"/>
    <w:rsid w:val="00023BDE"/>
    <w:rsid w:val="00024199"/>
    <w:rsid w:val="000242C3"/>
    <w:rsid w:val="0002463F"/>
    <w:rsid w:val="0002474B"/>
    <w:rsid w:val="0002488A"/>
    <w:rsid w:val="000248AF"/>
    <w:rsid w:val="00024B8A"/>
    <w:rsid w:val="00024D67"/>
    <w:rsid w:val="00024D7F"/>
    <w:rsid w:val="00024FB8"/>
    <w:rsid w:val="00025052"/>
    <w:rsid w:val="00025791"/>
    <w:rsid w:val="00025834"/>
    <w:rsid w:val="00025A44"/>
    <w:rsid w:val="00025A52"/>
    <w:rsid w:val="00025F4D"/>
    <w:rsid w:val="000265E9"/>
    <w:rsid w:val="000267C8"/>
    <w:rsid w:val="000271F5"/>
    <w:rsid w:val="000274DD"/>
    <w:rsid w:val="00027616"/>
    <w:rsid w:val="000276A3"/>
    <w:rsid w:val="00027ABB"/>
    <w:rsid w:val="00027BDB"/>
    <w:rsid w:val="00027D0F"/>
    <w:rsid w:val="00027DDE"/>
    <w:rsid w:val="00027FE0"/>
    <w:rsid w:val="000303D6"/>
    <w:rsid w:val="00030916"/>
    <w:rsid w:val="00030D12"/>
    <w:rsid w:val="0003179B"/>
    <w:rsid w:val="00031855"/>
    <w:rsid w:val="00031922"/>
    <w:rsid w:val="00031B9F"/>
    <w:rsid w:val="000323A5"/>
    <w:rsid w:val="00032465"/>
    <w:rsid w:val="00032703"/>
    <w:rsid w:val="00032882"/>
    <w:rsid w:val="0003298D"/>
    <w:rsid w:val="00032BA5"/>
    <w:rsid w:val="00032E61"/>
    <w:rsid w:val="0003323E"/>
    <w:rsid w:val="000333D2"/>
    <w:rsid w:val="00033517"/>
    <w:rsid w:val="00034425"/>
    <w:rsid w:val="00034B55"/>
    <w:rsid w:val="00035005"/>
    <w:rsid w:val="00035017"/>
    <w:rsid w:val="00035183"/>
    <w:rsid w:val="000354DE"/>
    <w:rsid w:val="00035C3A"/>
    <w:rsid w:val="00035F54"/>
    <w:rsid w:val="00036283"/>
    <w:rsid w:val="000364A2"/>
    <w:rsid w:val="000365BD"/>
    <w:rsid w:val="000366DE"/>
    <w:rsid w:val="000369DF"/>
    <w:rsid w:val="00036D1E"/>
    <w:rsid w:val="00036F0B"/>
    <w:rsid w:val="00037180"/>
    <w:rsid w:val="000371A1"/>
    <w:rsid w:val="000373FC"/>
    <w:rsid w:val="00037421"/>
    <w:rsid w:val="00037D7A"/>
    <w:rsid w:val="000401A2"/>
    <w:rsid w:val="000401CE"/>
    <w:rsid w:val="000407A8"/>
    <w:rsid w:val="000411C4"/>
    <w:rsid w:val="000411EF"/>
    <w:rsid w:val="0004120C"/>
    <w:rsid w:val="0004147F"/>
    <w:rsid w:val="000415FA"/>
    <w:rsid w:val="00041689"/>
    <w:rsid w:val="000416CC"/>
    <w:rsid w:val="00041899"/>
    <w:rsid w:val="00041AE2"/>
    <w:rsid w:val="00041D21"/>
    <w:rsid w:val="00041D4F"/>
    <w:rsid w:val="000421EA"/>
    <w:rsid w:val="00042416"/>
    <w:rsid w:val="00042AD6"/>
    <w:rsid w:val="0004325E"/>
    <w:rsid w:val="00043664"/>
    <w:rsid w:val="00043E99"/>
    <w:rsid w:val="000440B5"/>
    <w:rsid w:val="00044225"/>
    <w:rsid w:val="00044505"/>
    <w:rsid w:val="00044566"/>
    <w:rsid w:val="00044AEC"/>
    <w:rsid w:val="00044E7E"/>
    <w:rsid w:val="00045846"/>
    <w:rsid w:val="00045AAC"/>
    <w:rsid w:val="000460CD"/>
    <w:rsid w:val="000462FD"/>
    <w:rsid w:val="000468AD"/>
    <w:rsid w:val="000469FE"/>
    <w:rsid w:val="00046EC7"/>
    <w:rsid w:val="00046F53"/>
    <w:rsid w:val="00046F57"/>
    <w:rsid w:val="0004722E"/>
    <w:rsid w:val="000473E3"/>
    <w:rsid w:val="00047572"/>
    <w:rsid w:val="000478F7"/>
    <w:rsid w:val="00047CDA"/>
    <w:rsid w:val="00047EBD"/>
    <w:rsid w:val="000505D9"/>
    <w:rsid w:val="00050666"/>
    <w:rsid w:val="00050F08"/>
    <w:rsid w:val="00050F54"/>
    <w:rsid w:val="000510B9"/>
    <w:rsid w:val="00051176"/>
    <w:rsid w:val="000513C0"/>
    <w:rsid w:val="00051401"/>
    <w:rsid w:val="000518ED"/>
    <w:rsid w:val="00051BBF"/>
    <w:rsid w:val="000524BF"/>
    <w:rsid w:val="00052794"/>
    <w:rsid w:val="0005282E"/>
    <w:rsid w:val="00052C12"/>
    <w:rsid w:val="00053840"/>
    <w:rsid w:val="00053C68"/>
    <w:rsid w:val="000541BA"/>
    <w:rsid w:val="000547E8"/>
    <w:rsid w:val="00054945"/>
    <w:rsid w:val="00054B90"/>
    <w:rsid w:val="0005567F"/>
    <w:rsid w:val="00055683"/>
    <w:rsid w:val="0005579A"/>
    <w:rsid w:val="00055949"/>
    <w:rsid w:val="00055EA1"/>
    <w:rsid w:val="00055FA3"/>
    <w:rsid w:val="00056635"/>
    <w:rsid w:val="0005694C"/>
    <w:rsid w:val="00056BDB"/>
    <w:rsid w:val="000571C1"/>
    <w:rsid w:val="00057265"/>
    <w:rsid w:val="000572A4"/>
    <w:rsid w:val="00057542"/>
    <w:rsid w:val="00057716"/>
    <w:rsid w:val="0005781B"/>
    <w:rsid w:val="00057972"/>
    <w:rsid w:val="000603DC"/>
    <w:rsid w:val="00060DCF"/>
    <w:rsid w:val="00060F10"/>
    <w:rsid w:val="00061175"/>
    <w:rsid w:val="000611C6"/>
    <w:rsid w:val="0006123F"/>
    <w:rsid w:val="0006139A"/>
    <w:rsid w:val="000615BF"/>
    <w:rsid w:val="00061D6D"/>
    <w:rsid w:val="000621FC"/>
    <w:rsid w:val="00062614"/>
    <w:rsid w:val="00062793"/>
    <w:rsid w:val="00062853"/>
    <w:rsid w:val="00062F0B"/>
    <w:rsid w:val="0006324E"/>
    <w:rsid w:val="00063261"/>
    <w:rsid w:val="0006362F"/>
    <w:rsid w:val="000637EB"/>
    <w:rsid w:val="00063C08"/>
    <w:rsid w:val="00063C3C"/>
    <w:rsid w:val="00063DF5"/>
    <w:rsid w:val="00063F40"/>
    <w:rsid w:val="00063F7C"/>
    <w:rsid w:val="0006426E"/>
    <w:rsid w:val="00064448"/>
    <w:rsid w:val="00064612"/>
    <w:rsid w:val="000646AE"/>
    <w:rsid w:val="000647F1"/>
    <w:rsid w:val="0006483B"/>
    <w:rsid w:val="00065405"/>
    <w:rsid w:val="0006551A"/>
    <w:rsid w:val="00065737"/>
    <w:rsid w:val="00065915"/>
    <w:rsid w:val="00065967"/>
    <w:rsid w:val="00065973"/>
    <w:rsid w:val="00065AA0"/>
    <w:rsid w:val="00065D6F"/>
    <w:rsid w:val="00065E02"/>
    <w:rsid w:val="00066058"/>
    <w:rsid w:val="00066951"/>
    <w:rsid w:val="00066B63"/>
    <w:rsid w:val="00066C24"/>
    <w:rsid w:val="00066CBE"/>
    <w:rsid w:val="00066ECF"/>
    <w:rsid w:val="00066ED2"/>
    <w:rsid w:val="00067A0E"/>
    <w:rsid w:val="00067A6B"/>
    <w:rsid w:val="00067E4F"/>
    <w:rsid w:val="00070130"/>
    <w:rsid w:val="000701A2"/>
    <w:rsid w:val="000702CF"/>
    <w:rsid w:val="0007065E"/>
    <w:rsid w:val="000706EE"/>
    <w:rsid w:val="00070D81"/>
    <w:rsid w:val="000713EF"/>
    <w:rsid w:val="0007154C"/>
    <w:rsid w:val="00071977"/>
    <w:rsid w:val="00071C7D"/>
    <w:rsid w:val="00071CBC"/>
    <w:rsid w:val="00071E9E"/>
    <w:rsid w:val="000722B9"/>
    <w:rsid w:val="00072307"/>
    <w:rsid w:val="000728F8"/>
    <w:rsid w:val="00072AFC"/>
    <w:rsid w:val="0007372D"/>
    <w:rsid w:val="000738CB"/>
    <w:rsid w:val="00073C4C"/>
    <w:rsid w:val="00073F72"/>
    <w:rsid w:val="0007406C"/>
    <w:rsid w:val="000742D9"/>
    <w:rsid w:val="000749AC"/>
    <w:rsid w:val="00074CAB"/>
    <w:rsid w:val="00074CF5"/>
    <w:rsid w:val="00074E2D"/>
    <w:rsid w:val="000751D5"/>
    <w:rsid w:val="000759C5"/>
    <w:rsid w:val="00075EC4"/>
    <w:rsid w:val="000760F4"/>
    <w:rsid w:val="0007687B"/>
    <w:rsid w:val="00076BC6"/>
    <w:rsid w:val="00076F97"/>
    <w:rsid w:val="00077ED0"/>
    <w:rsid w:val="00080130"/>
    <w:rsid w:val="000802D5"/>
    <w:rsid w:val="000804FD"/>
    <w:rsid w:val="000805F1"/>
    <w:rsid w:val="00080830"/>
    <w:rsid w:val="000809B5"/>
    <w:rsid w:val="00080EE8"/>
    <w:rsid w:val="000811A4"/>
    <w:rsid w:val="00081317"/>
    <w:rsid w:val="0008139D"/>
    <w:rsid w:val="000818A4"/>
    <w:rsid w:val="00081BDF"/>
    <w:rsid w:val="00082029"/>
    <w:rsid w:val="00082136"/>
    <w:rsid w:val="00082538"/>
    <w:rsid w:val="00082FD0"/>
    <w:rsid w:val="00083551"/>
    <w:rsid w:val="00084174"/>
    <w:rsid w:val="000842EE"/>
    <w:rsid w:val="00084409"/>
    <w:rsid w:val="0008448D"/>
    <w:rsid w:val="00084612"/>
    <w:rsid w:val="00084934"/>
    <w:rsid w:val="000853C5"/>
    <w:rsid w:val="000854CF"/>
    <w:rsid w:val="00085586"/>
    <w:rsid w:val="00085EAF"/>
    <w:rsid w:val="0008665D"/>
    <w:rsid w:val="00086763"/>
    <w:rsid w:val="00086924"/>
    <w:rsid w:val="00086944"/>
    <w:rsid w:val="0008697B"/>
    <w:rsid w:val="00086CEF"/>
    <w:rsid w:val="000870BB"/>
    <w:rsid w:val="000873C7"/>
    <w:rsid w:val="000874ED"/>
    <w:rsid w:val="00087D93"/>
    <w:rsid w:val="000903CD"/>
    <w:rsid w:val="000903FE"/>
    <w:rsid w:val="00090412"/>
    <w:rsid w:val="00090C9A"/>
    <w:rsid w:val="00091013"/>
    <w:rsid w:val="00091071"/>
    <w:rsid w:val="0009130F"/>
    <w:rsid w:val="000913B4"/>
    <w:rsid w:val="000913B9"/>
    <w:rsid w:val="000913BF"/>
    <w:rsid w:val="00091765"/>
    <w:rsid w:val="0009177A"/>
    <w:rsid w:val="00091B2D"/>
    <w:rsid w:val="00091C83"/>
    <w:rsid w:val="00091DBE"/>
    <w:rsid w:val="0009212B"/>
    <w:rsid w:val="00092E72"/>
    <w:rsid w:val="00093018"/>
    <w:rsid w:val="0009315C"/>
    <w:rsid w:val="00093261"/>
    <w:rsid w:val="00093A01"/>
    <w:rsid w:val="00093DC6"/>
    <w:rsid w:val="000942B7"/>
    <w:rsid w:val="00094539"/>
    <w:rsid w:val="000949CC"/>
    <w:rsid w:val="00094A7E"/>
    <w:rsid w:val="00094D68"/>
    <w:rsid w:val="00095882"/>
    <w:rsid w:val="00095B04"/>
    <w:rsid w:val="00095B15"/>
    <w:rsid w:val="00096A1E"/>
    <w:rsid w:val="00096E29"/>
    <w:rsid w:val="00096FB3"/>
    <w:rsid w:val="00096FDB"/>
    <w:rsid w:val="00097103"/>
    <w:rsid w:val="00097648"/>
    <w:rsid w:val="000979E5"/>
    <w:rsid w:val="00097B8B"/>
    <w:rsid w:val="00097D05"/>
    <w:rsid w:val="00097E75"/>
    <w:rsid w:val="000A0073"/>
    <w:rsid w:val="000A0366"/>
    <w:rsid w:val="000A03D9"/>
    <w:rsid w:val="000A0A20"/>
    <w:rsid w:val="000A145D"/>
    <w:rsid w:val="000A147C"/>
    <w:rsid w:val="000A16A9"/>
    <w:rsid w:val="000A17BC"/>
    <w:rsid w:val="000A1C5D"/>
    <w:rsid w:val="000A1D58"/>
    <w:rsid w:val="000A1D8F"/>
    <w:rsid w:val="000A23FD"/>
    <w:rsid w:val="000A2603"/>
    <w:rsid w:val="000A2931"/>
    <w:rsid w:val="000A29E8"/>
    <w:rsid w:val="000A300E"/>
    <w:rsid w:val="000A3233"/>
    <w:rsid w:val="000A32AF"/>
    <w:rsid w:val="000A35D9"/>
    <w:rsid w:val="000A39F1"/>
    <w:rsid w:val="000A3B1B"/>
    <w:rsid w:val="000A3BDB"/>
    <w:rsid w:val="000A4226"/>
    <w:rsid w:val="000A44FA"/>
    <w:rsid w:val="000A4DA5"/>
    <w:rsid w:val="000A500F"/>
    <w:rsid w:val="000A5291"/>
    <w:rsid w:val="000A5A37"/>
    <w:rsid w:val="000A5BC8"/>
    <w:rsid w:val="000A6476"/>
    <w:rsid w:val="000A6563"/>
    <w:rsid w:val="000A692B"/>
    <w:rsid w:val="000A708B"/>
    <w:rsid w:val="000A7201"/>
    <w:rsid w:val="000A7465"/>
    <w:rsid w:val="000A753B"/>
    <w:rsid w:val="000A7856"/>
    <w:rsid w:val="000A7F5F"/>
    <w:rsid w:val="000B068B"/>
    <w:rsid w:val="000B074E"/>
    <w:rsid w:val="000B0868"/>
    <w:rsid w:val="000B0BD8"/>
    <w:rsid w:val="000B1535"/>
    <w:rsid w:val="000B1B07"/>
    <w:rsid w:val="000B1C60"/>
    <w:rsid w:val="000B2211"/>
    <w:rsid w:val="000B2824"/>
    <w:rsid w:val="000B2856"/>
    <w:rsid w:val="000B2D7E"/>
    <w:rsid w:val="000B3703"/>
    <w:rsid w:val="000B374D"/>
    <w:rsid w:val="000B3B18"/>
    <w:rsid w:val="000B3B50"/>
    <w:rsid w:val="000B3EBE"/>
    <w:rsid w:val="000B4618"/>
    <w:rsid w:val="000B4D17"/>
    <w:rsid w:val="000B4D39"/>
    <w:rsid w:val="000B53AD"/>
    <w:rsid w:val="000B562B"/>
    <w:rsid w:val="000B56E6"/>
    <w:rsid w:val="000B5818"/>
    <w:rsid w:val="000B5BC3"/>
    <w:rsid w:val="000B5DAC"/>
    <w:rsid w:val="000B68A0"/>
    <w:rsid w:val="000B6A57"/>
    <w:rsid w:val="000B6AA4"/>
    <w:rsid w:val="000B6DD1"/>
    <w:rsid w:val="000B6FA1"/>
    <w:rsid w:val="000B7136"/>
    <w:rsid w:val="000B719E"/>
    <w:rsid w:val="000B7986"/>
    <w:rsid w:val="000B7993"/>
    <w:rsid w:val="000B7BAE"/>
    <w:rsid w:val="000B7CB4"/>
    <w:rsid w:val="000C024F"/>
    <w:rsid w:val="000C06B7"/>
    <w:rsid w:val="000C07A2"/>
    <w:rsid w:val="000C07E5"/>
    <w:rsid w:val="000C0BD0"/>
    <w:rsid w:val="000C0C22"/>
    <w:rsid w:val="000C0CEB"/>
    <w:rsid w:val="000C1D1E"/>
    <w:rsid w:val="000C1EEC"/>
    <w:rsid w:val="000C2000"/>
    <w:rsid w:val="000C21B0"/>
    <w:rsid w:val="000C24E2"/>
    <w:rsid w:val="000C260A"/>
    <w:rsid w:val="000C2933"/>
    <w:rsid w:val="000C2C88"/>
    <w:rsid w:val="000C2CF4"/>
    <w:rsid w:val="000C2D67"/>
    <w:rsid w:val="000C3007"/>
    <w:rsid w:val="000C321F"/>
    <w:rsid w:val="000C324F"/>
    <w:rsid w:val="000C337E"/>
    <w:rsid w:val="000C33A6"/>
    <w:rsid w:val="000C33DB"/>
    <w:rsid w:val="000C34FE"/>
    <w:rsid w:val="000C3709"/>
    <w:rsid w:val="000C3F0F"/>
    <w:rsid w:val="000C4285"/>
    <w:rsid w:val="000C459B"/>
    <w:rsid w:val="000C46B3"/>
    <w:rsid w:val="000C473B"/>
    <w:rsid w:val="000C47F6"/>
    <w:rsid w:val="000C4821"/>
    <w:rsid w:val="000C4DB4"/>
    <w:rsid w:val="000C57F8"/>
    <w:rsid w:val="000C5C94"/>
    <w:rsid w:val="000C5EFE"/>
    <w:rsid w:val="000C6504"/>
    <w:rsid w:val="000C6C40"/>
    <w:rsid w:val="000C72DF"/>
    <w:rsid w:val="000C7346"/>
    <w:rsid w:val="000C7757"/>
    <w:rsid w:val="000C796D"/>
    <w:rsid w:val="000C7CF5"/>
    <w:rsid w:val="000D024A"/>
    <w:rsid w:val="000D02BD"/>
    <w:rsid w:val="000D0445"/>
    <w:rsid w:val="000D08BE"/>
    <w:rsid w:val="000D097A"/>
    <w:rsid w:val="000D0B9D"/>
    <w:rsid w:val="000D0C67"/>
    <w:rsid w:val="000D1065"/>
    <w:rsid w:val="000D16A2"/>
    <w:rsid w:val="000D1EE2"/>
    <w:rsid w:val="000D2D4D"/>
    <w:rsid w:val="000D2D80"/>
    <w:rsid w:val="000D2E3D"/>
    <w:rsid w:val="000D33C6"/>
    <w:rsid w:val="000D38A6"/>
    <w:rsid w:val="000D426C"/>
    <w:rsid w:val="000D44E2"/>
    <w:rsid w:val="000D4A0C"/>
    <w:rsid w:val="000D4E32"/>
    <w:rsid w:val="000D4ECA"/>
    <w:rsid w:val="000D4F4A"/>
    <w:rsid w:val="000D50C0"/>
    <w:rsid w:val="000D54FA"/>
    <w:rsid w:val="000D5594"/>
    <w:rsid w:val="000D5884"/>
    <w:rsid w:val="000D58FF"/>
    <w:rsid w:val="000D5934"/>
    <w:rsid w:val="000D6186"/>
    <w:rsid w:val="000D6812"/>
    <w:rsid w:val="000D6940"/>
    <w:rsid w:val="000D6FD8"/>
    <w:rsid w:val="000D701D"/>
    <w:rsid w:val="000D757C"/>
    <w:rsid w:val="000D7995"/>
    <w:rsid w:val="000D7C18"/>
    <w:rsid w:val="000D7E5F"/>
    <w:rsid w:val="000E034A"/>
    <w:rsid w:val="000E053F"/>
    <w:rsid w:val="000E084D"/>
    <w:rsid w:val="000E084F"/>
    <w:rsid w:val="000E0A47"/>
    <w:rsid w:val="000E0DDC"/>
    <w:rsid w:val="000E0FE4"/>
    <w:rsid w:val="000E209F"/>
    <w:rsid w:val="000E2740"/>
    <w:rsid w:val="000E283A"/>
    <w:rsid w:val="000E2C01"/>
    <w:rsid w:val="000E2CAE"/>
    <w:rsid w:val="000E388E"/>
    <w:rsid w:val="000E3A83"/>
    <w:rsid w:val="000E3B43"/>
    <w:rsid w:val="000E3C8D"/>
    <w:rsid w:val="000E4561"/>
    <w:rsid w:val="000E4760"/>
    <w:rsid w:val="000E49CA"/>
    <w:rsid w:val="000E4D77"/>
    <w:rsid w:val="000E4E2F"/>
    <w:rsid w:val="000E4F6C"/>
    <w:rsid w:val="000E50DE"/>
    <w:rsid w:val="000E53FA"/>
    <w:rsid w:val="000E56FF"/>
    <w:rsid w:val="000E5E1D"/>
    <w:rsid w:val="000E681D"/>
    <w:rsid w:val="000E6B64"/>
    <w:rsid w:val="000E7629"/>
    <w:rsid w:val="000E7D96"/>
    <w:rsid w:val="000F01C6"/>
    <w:rsid w:val="000F0563"/>
    <w:rsid w:val="000F0636"/>
    <w:rsid w:val="000F1374"/>
    <w:rsid w:val="000F14A0"/>
    <w:rsid w:val="000F16FC"/>
    <w:rsid w:val="000F1EB5"/>
    <w:rsid w:val="000F226E"/>
    <w:rsid w:val="000F22DD"/>
    <w:rsid w:val="000F25C3"/>
    <w:rsid w:val="000F26FB"/>
    <w:rsid w:val="000F2C29"/>
    <w:rsid w:val="000F336F"/>
    <w:rsid w:val="000F34D8"/>
    <w:rsid w:val="000F36C6"/>
    <w:rsid w:val="000F37ED"/>
    <w:rsid w:val="000F3D28"/>
    <w:rsid w:val="000F3E09"/>
    <w:rsid w:val="000F3FBA"/>
    <w:rsid w:val="000F3FCA"/>
    <w:rsid w:val="000F4551"/>
    <w:rsid w:val="000F4684"/>
    <w:rsid w:val="000F47D8"/>
    <w:rsid w:val="000F48EC"/>
    <w:rsid w:val="000F4A35"/>
    <w:rsid w:val="000F4F2A"/>
    <w:rsid w:val="000F4FA4"/>
    <w:rsid w:val="000F5283"/>
    <w:rsid w:val="000F5D79"/>
    <w:rsid w:val="000F62AF"/>
    <w:rsid w:val="000F62C6"/>
    <w:rsid w:val="000F63A5"/>
    <w:rsid w:val="000F642D"/>
    <w:rsid w:val="000F65EC"/>
    <w:rsid w:val="000F69D9"/>
    <w:rsid w:val="000F69E9"/>
    <w:rsid w:val="000F6A8B"/>
    <w:rsid w:val="000F6F1D"/>
    <w:rsid w:val="000F6F5F"/>
    <w:rsid w:val="00100315"/>
    <w:rsid w:val="00100411"/>
    <w:rsid w:val="00100705"/>
    <w:rsid w:val="00100956"/>
    <w:rsid w:val="0010102E"/>
    <w:rsid w:val="001011A4"/>
    <w:rsid w:val="001014F3"/>
    <w:rsid w:val="00101643"/>
    <w:rsid w:val="0010176F"/>
    <w:rsid w:val="00101928"/>
    <w:rsid w:val="00102277"/>
    <w:rsid w:val="00102CFE"/>
    <w:rsid w:val="00102F67"/>
    <w:rsid w:val="001036F5"/>
    <w:rsid w:val="001037C6"/>
    <w:rsid w:val="00103981"/>
    <w:rsid w:val="00103A7E"/>
    <w:rsid w:val="00103CCB"/>
    <w:rsid w:val="00103D6C"/>
    <w:rsid w:val="00103E49"/>
    <w:rsid w:val="00103F30"/>
    <w:rsid w:val="00103F66"/>
    <w:rsid w:val="0010418D"/>
    <w:rsid w:val="001042F3"/>
    <w:rsid w:val="0010447D"/>
    <w:rsid w:val="00104796"/>
    <w:rsid w:val="00104807"/>
    <w:rsid w:val="0010498E"/>
    <w:rsid w:val="00104AED"/>
    <w:rsid w:val="00104BAF"/>
    <w:rsid w:val="00104C0A"/>
    <w:rsid w:val="0010561F"/>
    <w:rsid w:val="00105836"/>
    <w:rsid w:val="001059D1"/>
    <w:rsid w:val="00105B53"/>
    <w:rsid w:val="001063C6"/>
    <w:rsid w:val="00106BEE"/>
    <w:rsid w:val="00106C38"/>
    <w:rsid w:val="00107001"/>
    <w:rsid w:val="00107252"/>
    <w:rsid w:val="001072DB"/>
    <w:rsid w:val="00107531"/>
    <w:rsid w:val="00107651"/>
    <w:rsid w:val="001078B6"/>
    <w:rsid w:val="00107EE0"/>
    <w:rsid w:val="0011074D"/>
    <w:rsid w:val="001107C7"/>
    <w:rsid w:val="001108E4"/>
    <w:rsid w:val="00110C6A"/>
    <w:rsid w:val="00111320"/>
    <w:rsid w:val="00111624"/>
    <w:rsid w:val="0011191F"/>
    <w:rsid w:val="00111947"/>
    <w:rsid w:val="00111A6B"/>
    <w:rsid w:val="00111C39"/>
    <w:rsid w:val="00111FF4"/>
    <w:rsid w:val="00112337"/>
    <w:rsid w:val="0011241F"/>
    <w:rsid w:val="001124B2"/>
    <w:rsid w:val="001125CB"/>
    <w:rsid w:val="00112CC2"/>
    <w:rsid w:val="00112D42"/>
    <w:rsid w:val="00112D57"/>
    <w:rsid w:val="00112E39"/>
    <w:rsid w:val="00112EA5"/>
    <w:rsid w:val="00112EEC"/>
    <w:rsid w:val="00113034"/>
    <w:rsid w:val="001133F6"/>
    <w:rsid w:val="00113649"/>
    <w:rsid w:val="00113C7C"/>
    <w:rsid w:val="00113D6F"/>
    <w:rsid w:val="0011420A"/>
    <w:rsid w:val="00114738"/>
    <w:rsid w:val="001151EB"/>
    <w:rsid w:val="0011545B"/>
    <w:rsid w:val="00115902"/>
    <w:rsid w:val="00115ADD"/>
    <w:rsid w:val="00115C42"/>
    <w:rsid w:val="001160DF"/>
    <w:rsid w:val="001162F8"/>
    <w:rsid w:val="00116341"/>
    <w:rsid w:val="0011652F"/>
    <w:rsid w:val="0011744E"/>
    <w:rsid w:val="0011779A"/>
    <w:rsid w:val="00117949"/>
    <w:rsid w:val="00120096"/>
    <w:rsid w:val="001205E8"/>
    <w:rsid w:val="0012093C"/>
    <w:rsid w:val="001209D9"/>
    <w:rsid w:val="00120DCD"/>
    <w:rsid w:val="00120EB3"/>
    <w:rsid w:val="00121156"/>
    <w:rsid w:val="001212FE"/>
    <w:rsid w:val="00121813"/>
    <w:rsid w:val="00121A1F"/>
    <w:rsid w:val="00121BB0"/>
    <w:rsid w:val="00121CE3"/>
    <w:rsid w:val="00122217"/>
    <w:rsid w:val="0012221B"/>
    <w:rsid w:val="001222B8"/>
    <w:rsid w:val="001228DF"/>
    <w:rsid w:val="0012297E"/>
    <w:rsid w:val="00122BD2"/>
    <w:rsid w:val="00122F34"/>
    <w:rsid w:val="001238AF"/>
    <w:rsid w:val="001238C1"/>
    <w:rsid w:val="00123CAE"/>
    <w:rsid w:val="001242EC"/>
    <w:rsid w:val="0012465A"/>
    <w:rsid w:val="00124739"/>
    <w:rsid w:val="00124D22"/>
    <w:rsid w:val="00124E30"/>
    <w:rsid w:val="00125036"/>
    <w:rsid w:val="00125202"/>
    <w:rsid w:val="0012525A"/>
    <w:rsid w:val="00125407"/>
    <w:rsid w:val="00125542"/>
    <w:rsid w:val="00125D4A"/>
    <w:rsid w:val="0012627B"/>
    <w:rsid w:val="0012676C"/>
    <w:rsid w:val="00126786"/>
    <w:rsid w:val="00126874"/>
    <w:rsid w:val="00126926"/>
    <w:rsid w:val="00126AF4"/>
    <w:rsid w:val="00126C2B"/>
    <w:rsid w:val="00126C6C"/>
    <w:rsid w:val="00126DE1"/>
    <w:rsid w:val="00126FBB"/>
    <w:rsid w:val="00127031"/>
    <w:rsid w:val="00127065"/>
    <w:rsid w:val="00127344"/>
    <w:rsid w:val="001275F5"/>
    <w:rsid w:val="001278D7"/>
    <w:rsid w:val="00127C26"/>
    <w:rsid w:val="0013051B"/>
    <w:rsid w:val="00130611"/>
    <w:rsid w:val="00130AE4"/>
    <w:rsid w:val="00130B6D"/>
    <w:rsid w:val="00131347"/>
    <w:rsid w:val="00131A9C"/>
    <w:rsid w:val="00131BD2"/>
    <w:rsid w:val="001320F8"/>
    <w:rsid w:val="0013218E"/>
    <w:rsid w:val="0013226B"/>
    <w:rsid w:val="001325BB"/>
    <w:rsid w:val="00132642"/>
    <w:rsid w:val="001326DD"/>
    <w:rsid w:val="00132FDC"/>
    <w:rsid w:val="0013308A"/>
    <w:rsid w:val="00133C12"/>
    <w:rsid w:val="00133D75"/>
    <w:rsid w:val="0013483A"/>
    <w:rsid w:val="001348BF"/>
    <w:rsid w:val="00134DC0"/>
    <w:rsid w:val="00135085"/>
    <w:rsid w:val="00135CF5"/>
    <w:rsid w:val="00136747"/>
    <w:rsid w:val="00136E15"/>
    <w:rsid w:val="0013787D"/>
    <w:rsid w:val="001379BE"/>
    <w:rsid w:val="00137D62"/>
    <w:rsid w:val="00140260"/>
    <w:rsid w:val="001422A0"/>
    <w:rsid w:val="00142638"/>
    <w:rsid w:val="00142D4D"/>
    <w:rsid w:val="00142EBC"/>
    <w:rsid w:val="00142F55"/>
    <w:rsid w:val="00143073"/>
    <w:rsid w:val="00143354"/>
    <w:rsid w:val="0014336D"/>
    <w:rsid w:val="001433E9"/>
    <w:rsid w:val="00143C5D"/>
    <w:rsid w:val="00143D90"/>
    <w:rsid w:val="001440C9"/>
    <w:rsid w:val="00144196"/>
    <w:rsid w:val="001448B7"/>
    <w:rsid w:val="00144B25"/>
    <w:rsid w:val="00145294"/>
    <w:rsid w:val="0014546D"/>
    <w:rsid w:val="00145494"/>
    <w:rsid w:val="00145680"/>
    <w:rsid w:val="001458D8"/>
    <w:rsid w:val="00145C8D"/>
    <w:rsid w:val="00145CCD"/>
    <w:rsid w:val="00145F84"/>
    <w:rsid w:val="00146071"/>
    <w:rsid w:val="001465D5"/>
    <w:rsid w:val="00146B88"/>
    <w:rsid w:val="0014735A"/>
    <w:rsid w:val="001477C6"/>
    <w:rsid w:val="0015003A"/>
    <w:rsid w:val="001505D8"/>
    <w:rsid w:val="00150674"/>
    <w:rsid w:val="00150777"/>
    <w:rsid w:val="00150AE3"/>
    <w:rsid w:val="00150C64"/>
    <w:rsid w:val="00151406"/>
    <w:rsid w:val="0015141C"/>
    <w:rsid w:val="00151731"/>
    <w:rsid w:val="001519A9"/>
    <w:rsid w:val="00151EEE"/>
    <w:rsid w:val="00152196"/>
    <w:rsid w:val="001527C7"/>
    <w:rsid w:val="00152A85"/>
    <w:rsid w:val="00152F48"/>
    <w:rsid w:val="00152F5D"/>
    <w:rsid w:val="00153068"/>
    <w:rsid w:val="00153B19"/>
    <w:rsid w:val="00153CDE"/>
    <w:rsid w:val="00153FDE"/>
    <w:rsid w:val="00154790"/>
    <w:rsid w:val="001557E2"/>
    <w:rsid w:val="00155A5A"/>
    <w:rsid w:val="00155D85"/>
    <w:rsid w:val="0015629F"/>
    <w:rsid w:val="00156423"/>
    <w:rsid w:val="00156632"/>
    <w:rsid w:val="00156744"/>
    <w:rsid w:val="00156904"/>
    <w:rsid w:val="00156C9E"/>
    <w:rsid w:val="00156DDF"/>
    <w:rsid w:val="00156DE9"/>
    <w:rsid w:val="00156E3A"/>
    <w:rsid w:val="001571C6"/>
    <w:rsid w:val="00157443"/>
    <w:rsid w:val="001578DD"/>
    <w:rsid w:val="00157962"/>
    <w:rsid w:val="00157966"/>
    <w:rsid w:val="00157A01"/>
    <w:rsid w:val="001600E5"/>
    <w:rsid w:val="00160CB7"/>
    <w:rsid w:val="00160E46"/>
    <w:rsid w:val="00161892"/>
    <w:rsid w:val="00161995"/>
    <w:rsid w:val="00161D5A"/>
    <w:rsid w:val="001620BC"/>
    <w:rsid w:val="0016252E"/>
    <w:rsid w:val="00162598"/>
    <w:rsid w:val="0016267A"/>
    <w:rsid w:val="00162DB1"/>
    <w:rsid w:val="00163039"/>
    <w:rsid w:val="00163215"/>
    <w:rsid w:val="00163224"/>
    <w:rsid w:val="00163545"/>
    <w:rsid w:val="001635A6"/>
    <w:rsid w:val="001637CA"/>
    <w:rsid w:val="00163B52"/>
    <w:rsid w:val="00164023"/>
    <w:rsid w:val="0016481A"/>
    <w:rsid w:val="00164D0F"/>
    <w:rsid w:val="001650F2"/>
    <w:rsid w:val="001651E6"/>
    <w:rsid w:val="0016539C"/>
    <w:rsid w:val="001658F4"/>
    <w:rsid w:val="00165A6F"/>
    <w:rsid w:val="00165EFE"/>
    <w:rsid w:val="00166132"/>
    <w:rsid w:val="001665AD"/>
    <w:rsid w:val="0016663D"/>
    <w:rsid w:val="0016694B"/>
    <w:rsid w:val="00166F86"/>
    <w:rsid w:val="0016742D"/>
    <w:rsid w:val="00167601"/>
    <w:rsid w:val="0016765A"/>
    <w:rsid w:val="0016769D"/>
    <w:rsid w:val="0016779F"/>
    <w:rsid w:val="00167923"/>
    <w:rsid w:val="00167B45"/>
    <w:rsid w:val="00167CAD"/>
    <w:rsid w:val="00167E13"/>
    <w:rsid w:val="00167F81"/>
    <w:rsid w:val="00170658"/>
    <w:rsid w:val="001706BB"/>
    <w:rsid w:val="00170E6D"/>
    <w:rsid w:val="001713E3"/>
    <w:rsid w:val="0017182D"/>
    <w:rsid w:val="00171863"/>
    <w:rsid w:val="00171869"/>
    <w:rsid w:val="00171E11"/>
    <w:rsid w:val="00171E2E"/>
    <w:rsid w:val="00171ED0"/>
    <w:rsid w:val="00172621"/>
    <w:rsid w:val="00172E93"/>
    <w:rsid w:val="0017327B"/>
    <w:rsid w:val="0017382D"/>
    <w:rsid w:val="0017390F"/>
    <w:rsid w:val="00174088"/>
    <w:rsid w:val="00174172"/>
    <w:rsid w:val="001745E9"/>
    <w:rsid w:val="00174660"/>
    <w:rsid w:val="001748C7"/>
    <w:rsid w:val="00174C58"/>
    <w:rsid w:val="00174CC4"/>
    <w:rsid w:val="00174EC9"/>
    <w:rsid w:val="00174F81"/>
    <w:rsid w:val="0017512D"/>
    <w:rsid w:val="001751D9"/>
    <w:rsid w:val="0017529E"/>
    <w:rsid w:val="001758E2"/>
    <w:rsid w:val="001759B6"/>
    <w:rsid w:val="00175B64"/>
    <w:rsid w:val="00175E20"/>
    <w:rsid w:val="00176056"/>
    <w:rsid w:val="00176166"/>
    <w:rsid w:val="001761A2"/>
    <w:rsid w:val="00176351"/>
    <w:rsid w:val="001764F8"/>
    <w:rsid w:val="0017676B"/>
    <w:rsid w:val="00176D96"/>
    <w:rsid w:val="00176FCF"/>
    <w:rsid w:val="00177261"/>
    <w:rsid w:val="00177543"/>
    <w:rsid w:val="001800B9"/>
    <w:rsid w:val="001800F1"/>
    <w:rsid w:val="00180125"/>
    <w:rsid w:val="0018016C"/>
    <w:rsid w:val="001801A7"/>
    <w:rsid w:val="001809C8"/>
    <w:rsid w:val="00180AF2"/>
    <w:rsid w:val="00180B0E"/>
    <w:rsid w:val="00180D97"/>
    <w:rsid w:val="00180E5D"/>
    <w:rsid w:val="0018171C"/>
    <w:rsid w:val="00182090"/>
    <w:rsid w:val="001820D6"/>
    <w:rsid w:val="0018212F"/>
    <w:rsid w:val="00182656"/>
    <w:rsid w:val="0018296E"/>
    <w:rsid w:val="001829A7"/>
    <w:rsid w:val="001833C8"/>
    <w:rsid w:val="00183436"/>
    <w:rsid w:val="00183768"/>
    <w:rsid w:val="00183F8B"/>
    <w:rsid w:val="0018445D"/>
    <w:rsid w:val="001844E4"/>
    <w:rsid w:val="00184583"/>
    <w:rsid w:val="001848AA"/>
    <w:rsid w:val="0018508D"/>
    <w:rsid w:val="00185154"/>
    <w:rsid w:val="00185DB3"/>
    <w:rsid w:val="00185DBD"/>
    <w:rsid w:val="00185E3B"/>
    <w:rsid w:val="0018644C"/>
    <w:rsid w:val="0018657A"/>
    <w:rsid w:val="001867B8"/>
    <w:rsid w:val="00186812"/>
    <w:rsid w:val="00186D26"/>
    <w:rsid w:val="00186DFD"/>
    <w:rsid w:val="00186E7E"/>
    <w:rsid w:val="00187108"/>
    <w:rsid w:val="00187524"/>
    <w:rsid w:val="0018755F"/>
    <w:rsid w:val="001875FC"/>
    <w:rsid w:val="00187763"/>
    <w:rsid w:val="00187A3F"/>
    <w:rsid w:val="00187A47"/>
    <w:rsid w:val="00187A9B"/>
    <w:rsid w:val="00187D0F"/>
    <w:rsid w:val="00187D14"/>
    <w:rsid w:val="00187E7A"/>
    <w:rsid w:val="00187F66"/>
    <w:rsid w:val="0019016B"/>
    <w:rsid w:val="0019016D"/>
    <w:rsid w:val="0019062B"/>
    <w:rsid w:val="00190722"/>
    <w:rsid w:val="001908A7"/>
    <w:rsid w:val="001909EC"/>
    <w:rsid w:val="00190A49"/>
    <w:rsid w:val="00190FEF"/>
    <w:rsid w:val="00191059"/>
    <w:rsid w:val="0019114D"/>
    <w:rsid w:val="0019162F"/>
    <w:rsid w:val="0019169F"/>
    <w:rsid w:val="00191901"/>
    <w:rsid w:val="00192B9B"/>
    <w:rsid w:val="00193390"/>
    <w:rsid w:val="001933F7"/>
    <w:rsid w:val="001934E6"/>
    <w:rsid w:val="00193616"/>
    <w:rsid w:val="00193B2B"/>
    <w:rsid w:val="00193BC8"/>
    <w:rsid w:val="001942A4"/>
    <w:rsid w:val="001942FA"/>
    <w:rsid w:val="001946F4"/>
    <w:rsid w:val="00194BDF"/>
    <w:rsid w:val="00194FAD"/>
    <w:rsid w:val="00195056"/>
    <w:rsid w:val="00195D79"/>
    <w:rsid w:val="00196262"/>
    <w:rsid w:val="001967EF"/>
    <w:rsid w:val="0019791C"/>
    <w:rsid w:val="00197B08"/>
    <w:rsid w:val="00197D3A"/>
    <w:rsid w:val="00197F83"/>
    <w:rsid w:val="001A047B"/>
    <w:rsid w:val="001A0D48"/>
    <w:rsid w:val="001A0D84"/>
    <w:rsid w:val="001A112F"/>
    <w:rsid w:val="001A117C"/>
    <w:rsid w:val="001A11DF"/>
    <w:rsid w:val="001A1CC3"/>
    <w:rsid w:val="001A2281"/>
    <w:rsid w:val="001A248F"/>
    <w:rsid w:val="001A2BEC"/>
    <w:rsid w:val="001A30CB"/>
    <w:rsid w:val="001A3177"/>
    <w:rsid w:val="001A3357"/>
    <w:rsid w:val="001A35C4"/>
    <w:rsid w:val="001A3CE5"/>
    <w:rsid w:val="001A3D15"/>
    <w:rsid w:val="001A46B3"/>
    <w:rsid w:val="001A5230"/>
    <w:rsid w:val="001A54A4"/>
    <w:rsid w:val="001A581E"/>
    <w:rsid w:val="001A5871"/>
    <w:rsid w:val="001A61AB"/>
    <w:rsid w:val="001A6A4D"/>
    <w:rsid w:val="001A6A8D"/>
    <w:rsid w:val="001A6AD5"/>
    <w:rsid w:val="001A6B12"/>
    <w:rsid w:val="001A6D44"/>
    <w:rsid w:val="001A6EB9"/>
    <w:rsid w:val="001A7072"/>
    <w:rsid w:val="001A7380"/>
    <w:rsid w:val="001A7452"/>
    <w:rsid w:val="001A756A"/>
    <w:rsid w:val="001A7654"/>
    <w:rsid w:val="001A76B9"/>
    <w:rsid w:val="001A7A23"/>
    <w:rsid w:val="001A7D23"/>
    <w:rsid w:val="001B00F6"/>
    <w:rsid w:val="001B04B8"/>
    <w:rsid w:val="001B0A32"/>
    <w:rsid w:val="001B0DB7"/>
    <w:rsid w:val="001B0E87"/>
    <w:rsid w:val="001B1047"/>
    <w:rsid w:val="001B12B6"/>
    <w:rsid w:val="001B1705"/>
    <w:rsid w:val="001B197A"/>
    <w:rsid w:val="001B1BFB"/>
    <w:rsid w:val="001B270A"/>
    <w:rsid w:val="001B2AD7"/>
    <w:rsid w:val="001B3BA5"/>
    <w:rsid w:val="001B422D"/>
    <w:rsid w:val="001B43A4"/>
    <w:rsid w:val="001B4D61"/>
    <w:rsid w:val="001B4FD7"/>
    <w:rsid w:val="001B51AF"/>
    <w:rsid w:val="001B5384"/>
    <w:rsid w:val="001B6329"/>
    <w:rsid w:val="001B6C72"/>
    <w:rsid w:val="001B6DB7"/>
    <w:rsid w:val="001B6E0D"/>
    <w:rsid w:val="001B768A"/>
    <w:rsid w:val="001B770C"/>
    <w:rsid w:val="001B7CFB"/>
    <w:rsid w:val="001B7E80"/>
    <w:rsid w:val="001B7ED5"/>
    <w:rsid w:val="001B7F9A"/>
    <w:rsid w:val="001C00F2"/>
    <w:rsid w:val="001C0110"/>
    <w:rsid w:val="001C078C"/>
    <w:rsid w:val="001C1074"/>
    <w:rsid w:val="001C118E"/>
    <w:rsid w:val="001C1431"/>
    <w:rsid w:val="001C1534"/>
    <w:rsid w:val="001C1570"/>
    <w:rsid w:val="001C1666"/>
    <w:rsid w:val="001C1B73"/>
    <w:rsid w:val="001C1D0C"/>
    <w:rsid w:val="001C1E96"/>
    <w:rsid w:val="001C2355"/>
    <w:rsid w:val="001C2492"/>
    <w:rsid w:val="001C267E"/>
    <w:rsid w:val="001C26FC"/>
    <w:rsid w:val="001C29B0"/>
    <w:rsid w:val="001C2FBE"/>
    <w:rsid w:val="001C36CC"/>
    <w:rsid w:val="001C3A01"/>
    <w:rsid w:val="001C3C41"/>
    <w:rsid w:val="001C3EBB"/>
    <w:rsid w:val="001C43AB"/>
    <w:rsid w:val="001C4423"/>
    <w:rsid w:val="001C46B9"/>
    <w:rsid w:val="001C4D15"/>
    <w:rsid w:val="001C4F3F"/>
    <w:rsid w:val="001C4FB7"/>
    <w:rsid w:val="001C51CD"/>
    <w:rsid w:val="001C571F"/>
    <w:rsid w:val="001C5867"/>
    <w:rsid w:val="001C599F"/>
    <w:rsid w:val="001C5C79"/>
    <w:rsid w:val="001C5EA9"/>
    <w:rsid w:val="001C5F47"/>
    <w:rsid w:val="001C656F"/>
    <w:rsid w:val="001C6577"/>
    <w:rsid w:val="001C65E4"/>
    <w:rsid w:val="001C6728"/>
    <w:rsid w:val="001C752B"/>
    <w:rsid w:val="001C7A87"/>
    <w:rsid w:val="001C7B2C"/>
    <w:rsid w:val="001C7FBC"/>
    <w:rsid w:val="001C7FEC"/>
    <w:rsid w:val="001D088A"/>
    <w:rsid w:val="001D0AE8"/>
    <w:rsid w:val="001D0C08"/>
    <w:rsid w:val="001D0C6D"/>
    <w:rsid w:val="001D0EE0"/>
    <w:rsid w:val="001D10D1"/>
    <w:rsid w:val="001D134A"/>
    <w:rsid w:val="001D196D"/>
    <w:rsid w:val="001D19B2"/>
    <w:rsid w:val="001D1A2B"/>
    <w:rsid w:val="001D203F"/>
    <w:rsid w:val="001D2527"/>
    <w:rsid w:val="001D29DC"/>
    <w:rsid w:val="001D2BD7"/>
    <w:rsid w:val="001D37A0"/>
    <w:rsid w:val="001D3E65"/>
    <w:rsid w:val="001D3F9B"/>
    <w:rsid w:val="001D45EA"/>
    <w:rsid w:val="001D486A"/>
    <w:rsid w:val="001D4DBB"/>
    <w:rsid w:val="001D4DC7"/>
    <w:rsid w:val="001D58F4"/>
    <w:rsid w:val="001D5CE4"/>
    <w:rsid w:val="001D5F10"/>
    <w:rsid w:val="001D636F"/>
    <w:rsid w:val="001D6514"/>
    <w:rsid w:val="001D6B2D"/>
    <w:rsid w:val="001D6F3D"/>
    <w:rsid w:val="001D70D2"/>
    <w:rsid w:val="001D70DB"/>
    <w:rsid w:val="001D712A"/>
    <w:rsid w:val="001D7303"/>
    <w:rsid w:val="001D757E"/>
    <w:rsid w:val="001D7683"/>
    <w:rsid w:val="001D7C6E"/>
    <w:rsid w:val="001E02CA"/>
    <w:rsid w:val="001E089B"/>
    <w:rsid w:val="001E130F"/>
    <w:rsid w:val="001E19DF"/>
    <w:rsid w:val="001E1BF4"/>
    <w:rsid w:val="001E2525"/>
    <w:rsid w:val="001E2CE9"/>
    <w:rsid w:val="001E2DE5"/>
    <w:rsid w:val="001E30CF"/>
    <w:rsid w:val="001E34AB"/>
    <w:rsid w:val="001E3500"/>
    <w:rsid w:val="001E3ABC"/>
    <w:rsid w:val="001E3CC2"/>
    <w:rsid w:val="001E3E56"/>
    <w:rsid w:val="001E425C"/>
    <w:rsid w:val="001E50D1"/>
    <w:rsid w:val="001E5108"/>
    <w:rsid w:val="001E5364"/>
    <w:rsid w:val="001E539A"/>
    <w:rsid w:val="001E5C43"/>
    <w:rsid w:val="001E6390"/>
    <w:rsid w:val="001E6967"/>
    <w:rsid w:val="001E6B96"/>
    <w:rsid w:val="001E7822"/>
    <w:rsid w:val="001E7965"/>
    <w:rsid w:val="001E7B13"/>
    <w:rsid w:val="001F0378"/>
    <w:rsid w:val="001F0450"/>
    <w:rsid w:val="001F0AE5"/>
    <w:rsid w:val="001F0B07"/>
    <w:rsid w:val="001F0CDD"/>
    <w:rsid w:val="001F1062"/>
    <w:rsid w:val="001F1226"/>
    <w:rsid w:val="001F13C8"/>
    <w:rsid w:val="001F1630"/>
    <w:rsid w:val="001F16CA"/>
    <w:rsid w:val="001F1926"/>
    <w:rsid w:val="001F1B42"/>
    <w:rsid w:val="001F1C98"/>
    <w:rsid w:val="001F204F"/>
    <w:rsid w:val="001F222D"/>
    <w:rsid w:val="001F2252"/>
    <w:rsid w:val="001F2317"/>
    <w:rsid w:val="001F23B1"/>
    <w:rsid w:val="001F275E"/>
    <w:rsid w:val="001F288B"/>
    <w:rsid w:val="001F28F8"/>
    <w:rsid w:val="001F2923"/>
    <w:rsid w:val="001F2AAB"/>
    <w:rsid w:val="001F38F6"/>
    <w:rsid w:val="001F390C"/>
    <w:rsid w:val="001F3AF1"/>
    <w:rsid w:val="001F3CAF"/>
    <w:rsid w:val="001F42C3"/>
    <w:rsid w:val="001F491A"/>
    <w:rsid w:val="001F4ADC"/>
    <w:rsid w:val="001F4C52"/>
    <w:rsid w:val="001F4CC0"/>
    <w:rsid w:val="001F4E1B"/>
    <w:rsid w:val="001F5041"/>
    <w:rsid w:val="001F56C8"/>
    <w:rsid w:val="001F56DC"/>
    <w:rsid w:val="001F5736"/>
    <w:rsid w:val="001F6070"/>
    <w:rsid w:val="001F6272"/>
    <w:rsid w:val="001F6656"/>
    <w:rsid w:val="001F68F6"/>
    <w:rsid w:val="001F6A5D"/>
    <w:rsid w:val="001F6BD4"/>
    <w:rsid w:val="001F6C2A"/>
    <w:rsid w:val="001F6C80"/>
    <w:rsid w:val="001F7262"/>
    <w:rsid w:val="001F76E0"/>
    <w:rsid w:val="001F7745"/>
    <w:rsid w:val="001F7B08"/>
    <w:rsid w:val="001F7DD7"/>
    <w:rsid w:val="0020030D"/>
    <w:rsid w:val="00200640"/>
    <w:rsid w:val="00200AB2"/>
    <w:rsid w:val="00200FB7"/>
    <w:rsid w:val="00200FD6"/>
    <w:rsid w:val="00200FF9"/>
    <w:rsid w:val="0020160B"/>
    <w:rsid w:val="0020179C"/>
    <w:rsid w:val="00201DEF"/>
    <w:rsid w:val="0020245B"/>
    <w:rsid w:val="00202810"/>
    <w:rsid w:val="002028EF"/>
    <w:rsid w:val="0020299B"/>
    <w:rsid w:val="002034E9"/>
    <w:rsid w:val="0020364D"/>
    <w:rsid w:val="002037A2"/>
    <w:rsid w:val="0020398C"/>
    <w:rsid w:val="0020403C"/>
    <w:rsid w:val="0020414F"/>
    <w:rsid w:val="0020437F"/>
    <w:rsid w:val="00204402"/>
    <w:rsid w:val="0020469F"/>
    <w:rsid w:val="0020483E"/>
    <w:rsid w:val="0020494C"/>
    <w:rsid w:val="00204CF8"/>
    <w:rsid w:val="00205374"/>
    <w:rsid w:val="0020546F"/>
    <w:rsid w:val="002054BF"/>
    <w:rsid w:val="00205B73"/>
    <w:rsid w:val="00205D59"/>
    <w:rsid w:val="00205DFC"/>
    <w:rsid w:val="00205FE0"/>
    <w:rsid w:val="00206054"/>
    <w:rsid w:val="002060F0"/>
    <w:rsid w:val="002061B3"/>
    <w:rsid w:val="0020672F"/>
    <w:rsid w:val="0020675A"/>
    <w:rsid w:val="002067EB"/>
    <w:rsid w:val="002068DD"/>
    <w:rsid w:val="00206DA2"/>
    <w:rsid w:val="00206EFC"/>
    <w:rsid w:val="00207656"/>
    <w:rsid w:val="0020779C"/>
    <w:rsid w:val="002078C1"/>
    <w:rsid w:val="0020797D"/>
    <w:rsid w:val="00210007"/>
    <w:rsid w:val="0021044D"/>
    <w:rsid w:val="00210500"/>
    <w:rsid w:val="00210529"/>
    <w:rsid w:val="002105C2"/>
    <w:rsid w:val="002105F4"/>
    <w:rsid w:val="00210600"/>
    <w:rsid w:val="002106C4"/>
    <w:rsid w:val="0021087A"/>
    <w:rsid w:val="00210976"/>
    <w:rsid w:val="00210DEF"/>
    <w:rsid w:val="00211305"/>
    <w:rsid w:val="00211507"/>
    <w:rsid w:val="00211A66"/>
    <w:rsid w:val="00211C1E"/>
    <w:rsid w:val="00211CBF"/>
    <w:rsid w:val="00211F08"/>
    <w:rsid w:val="00212018"/>
    <w:rsid w:val="0021227D"/>
    <w:rsid w:val="00212380"/>
    <w:rsid w:val="0021246C"/>
    <w:rsid w:val="00212C9F"/>
    <w:rsid w:val="00212F21"/>
    <w:rsid w:val="00213AE8"/>
    <w:rsid w:val="00213C30"/>
    <w:rsid w:val="00214A27"/>
    <w:rsid w:val="00214E52"/>
    <w:rsid w:val="00215076"/>
    <w:rsid w:val="00215304"/>
    <w:rsid w:val="00215BB4"/>
    <w:rsid w:val="00215C36"/>
    <w:rsid w:val="00215C78"/>
    <w:rsid w:val="00215DD8"/>
    <w:rsid w:val="0021608A"/>
    <w:rsid w:val="00216227"/>
    <w:rsid w:val="002162A2"/>
    <w:rsid w:val="0021647A"/>
    <w:rsid w:val="00216966"/>
    <w:rsid w:val="00216EDB"/>
    <w:rsid w:val="0021766B"/>
    <w:rsid w:val="00217848"/>
    <w:rsid w:val="00217EC7"/>
    <w:rsid w:val="002203C4"/>
    <w:rsid w:val="002203F4"/>
    <w:rsid w:val="00220D31"/>
    <w:rsid w:val="00220DA4"/>
    <w:rsid w:val="00222015"/>
    <w:rsid w:val="00222215"/>
    <w:rsid w:val="0022273F"/>
    <w:rsid w:val="00222A10"/>
    <w:rsid w:val="00222E82"/>
    <w:rsid w:val="00223991"/>
    <w:rsid w:val="00223E11"/>
    <w:rsid w:val="00223ED9"/>
    <w:rsid w:val="00224039"/>
    <w:rsid w:val="002243BE"/>
    <w:rsid w:val="00224623"/>
    <w:rsid w:val="00224863"/>
    <w:rsid w:val="00224A48"/>
    <w:rsid w:val="0022554C"/>
    <w:rsid w:val="002259DC"/>
    <w:rsid w:val="00226184"/>
    <w:rsid w:val="002263E4"/>
    <w:rsid w:val="002263F4"/>
    <w:rsid w:val="002268EE"/>
    <w:rsid w:val="00226CF3"/>
    <w:rsid w:val="00226D96"/>
    <w:rsid w:val="002277B1"/>
    <w:rsid w:val="002279A7"/>
    <w:rsid w:val="002301BE"/>
    <w:rsid w:val="002307D6"/>
    <w:rsid w:val="00230A2C"/>
    <w:rsid w:val="00230E0B"/>
    <w:rsid w:val="002311D4"/>
    <w:rsid w:val="002314BF"/>
    <w:rsid w:val="0023195A"/>
    <w:rsid w:val="00231B15"/>
    <w:rsid w:val="00231C1A"/>
    <w:rsid w:val="00231C64"/>
    <w:rsid w:val="0023236C"/>
    <w:rsid w:val="0023268D"/>
    <w:rsid w:val="0023277F"/>
    <w:rsid w:val="00232781"/>
    <w:rsid w:val="0023398E"/>
    <w:rsid w:val="00233B11"/>
    <w:rsid w:val="0023400D"/>
    <w:rsid w:val="0023430F"/>
    <w:rsid w:val="002347CC"/>
    <w:rsid w:val="00234837"/>
    <w:rsid w:val="00234858"/>
    <w:rsid w:val="002348B9"/>
    <w:rsid w:val="00234D14"/>
    <w:rsid w:val="00234D47"/>
    <w:rsid w:val="00234E2A"/>
    <w:rsid w:val="00234E7B"/>
    <w:rsid w:val="00234FB0"/>
    <w:rsid w:val="00235073"/>
    <w:rsid w:val="002350AC"/>
    <w:rsid w:val="0023514F"/>
    <w:rsid w:val="0023528A"/>
    <w:rsid w:val="0023531C"/>
    <w:rsid w:val="00235D92"/>
    <w:rsid w:val="002360C1"/>
    <w:rsid w:val="00236244"/>
    <w:rsid w:val="00236408"/>
    <w:rsid w:val="002365E9"/>
    <w:rsid w:val="0023697C"/>
    <w:rsid w:val="00237366"/>
    <w:rsid w:val="00237639"/>
    <w:rsid w:val="0023778D"/>
    <w:rsid w:val="00237CD3"/>
    <w:rsid w:val="0024007C"/>
    <w:rsid w:val="002400B0"/>
    <w:rsid w:val="002406B0"/>
    <w:rsid w:val="002408A9"/>
    <w:rsid w:val="00240A49"/>
    <w:rsid w:val="00241438"/>
    <w:rsid w:val="00241456"/>
    <w:rsid w:val="00241AE6"/>
    <w:rsid w:val="00241C05"/>
    <w:rsid w:val="00241CFC"/>
    <w:rsid w:val="00241CFF"/>
    <w:rsid w:val="00241F87"/>
    <w:rsid w:val="00242310"/>
    <w:rsid w:val="0024247F"/>
    <w:rsid w:val="0024278D"/>
    <w:rsid w:val="002427FA"/>
    <w:rsid w:val="0024308E"/>
    <w:rsid w:val="00243146"/>
    <w:rsid w:val="00243488"/>
    <w:rsid w:val="002435B3"/>
    <w:rsid w:val="002437CE"/>
    <w:rsid w:val="002437EC"/>
    <w:rsid w:val="00243BE9"/>
    <w:rsid w:val="00244807"/>
    <w:rsid w:val="002450AA"/>
    <w:rsid w:val="00245405"/>
    <w:rsid w:val="002457E1"/>
    <w:rsid w:val="00245E3E"/>
    <w:rsid w:val="00245E77"/>
    <w:rsid w:val="002460AE"/>
    <w:rsid w:val="002466D5"/>
    <w:rsid w:val="00246994"/>
    <w:rsid w:val="00247150"/>
    <w:rsid w:val="002475D9"/>
    <w:rsid w:val="00247637"/>
    <w:rsid w:val="00247788"/>
    <w:rsid w:val="002477F6"/>
    <w:rsid w:val="00247915"/>
    <w:rsid w:val="00247B00"/>
    <w:rsid w:val="00250580"/>
    <w:rsid w:val="002505AE"/>
    <w:rsid w:val="0025060D"/>
    <w:rsid w:val="00250B85"/>
    <w:rsid w:val="0025119D"/>
    <w:rsid w:val="00251276"/>
    <w:rsid w:val="002513AC"/>
    <w:rsid w:val="00251705"/>
    <w:rsid w:val="00251976"/>
    <w:rsid w:val="00252003"/>
    <w:rsid w:val="002520A4"/>
    <w:rsid w:val="00252201"/>
    <w:rsid w:val="002524C3"/>
    <w:rsid w:val="00252549"/>
    <w:rsid w:val="00252643"/>
    <w:rsid w:val="00252BE7"/>
    <w:rsid w:val="00252D52"/>
    <w:rsid w:val="002533D2"/>
    <w:rsid w:val="002541C5"/>
    <w:rsid w:val="002542D2"/>
    <w:rsid w:val="002543AC"/>
    <w:rsid w:val="00254DD8"/>
    <w:rsid w:val="0025520B"/>
    <w:rsid w:val="00255250"/>
    <w:rsid w:val="00255836"/>
    <w:rsid w:val="00255B5A"/>
    <w:rsid w:val="00255F34"/>
    <w:rsid w:val="002560A6"/>
    <w:rsid w:val="00256193"/>
    <w:rsid w:val="002564B6"/>
    <w:rsid w:val="00256D51"/>
    <w:rsid w:val="00256D7B"/>
    <w:rsid w:val="00257299"/>
    <w:rsid w:val="0025732E"/>
    <w:rsid w:val="002574AA"/>
    <w:rsid w:val="002575CB"/>
    <w:rsid w:val="002578B3"/>
    <w:rsid w:val="00257B41"/>
    <w:rsid w:val="002601F9"/>
    <w:rsid w:val="002603F1"/>
    <w:rsid w:val="00260574"/>
    <w:rsid w:val="00260B8A"/>
    <w:rsid w:val="00260E46"/>
    <w:rsid w:val="00262365"/>
    <w:rsid w:val="002626C7"/>
    <w:rsid w:val="002626E4"/>
    <w:rsid w:val="002627B9"/>
    <w:rsid w:val="00262B61"/>
    <w:rsid w:val="00262EB0"/>
    <w:rsid w:val="00263293"/>
    <w:rsid w:val="0026345E"/>
    <w:rsid w:val="002634E2"/>
    <w:rsid w:val="00263852"/>
    <w:rsid w:val="00263C0E"/>
    <w:rsid w:val="00263D59"/>
    <w:rsid w:val="00264903"/>
    <w:rsid w:val="00264C88"/>
    <w:rsid w:val="00264DA1"/>
    <w:rsid w:val="00265482"/>
    <w:rsid w:val="002659D5"/>
    <w:rsid w:val="00265DE9"/>
    <w:rsid w:val="0026680C"/>
    <w:rsid w:val="00266850"/>
    <w:rsid w:val="002668B7"/>
    <w:rsid w:val="002669F3"/>
    <w:rsid w:val="00267160"/>
    <w:rsid w:val="002672BA"/>
    <w:rsid w:val="0026730A"/>
    <w:rsid w:val="002674F1"/>
    <w:rsid w:val="002676D0"/>
    <w:rsid w:val="00267A9A"/>
    <w:rsid w:val="00270041"/>
    <w:rsid w:val="00270057"/>
    <w:rsid w:val="0027017A"/>
    <w:rsid w:val="002705DE"/>
    <w:rsid w:val="002708E5"/>
    <w:rsid w:val="00271A2E"/>
    <w:rsid w:val="00271B19"/>
    <w:rsid w:val="00271BB4"/>
    <w:rsid w:val="00271F49"/>
    <w:rsid w:val="0027219B"/>
    <w:rsid w:val="00272A37"/>
    <w:rsid w:val="00273071"/>
    <w:rsid w:val="00273107"/>
    <w:rsid w:val="00273235"/>
    <w:rsid w:val="00273297"/>
    <w:rsid w:val="002734FF"/>
    <w:rsid w:val="00273AB5"/>
    <w:rsid w:val="00273D2B"/>
    <w:rsid w:val="002742AB"/>
    <w:rsid w:val="00274493"/>
    <w:rsid w:val="00274AF6"/>
    <w:rsid w:val="00274E6B"/>
    <w:rsid w:val="00274E8C"/>
    <w:rsid w:val="00275050"/>
    <w:rsid w:val="0027505F"/>
    <w:rsid w:val="0027552A"/>
    <w:rsid w:val="00275A29"/>
    <w:rsid w:val="00275D72"/>
    <w:rsid w:val="00275D9D"/>
    <w:rsid w:val="00275DB9"/>
    <w:rsid w:val="0027601D"/>
    <w:rsid w:val="00276376"/>
    <w:rsid w:val="0027676C"/>
    <w:rsid w:val="00276B53"/>
    <w:rsid w:val="0027724D"/>
    <w:rsid w:val="002777BD"/>
    <w:rsid w:val="002778BF"/>
    <w:rsid w:val="0027796D"/>
    <w:rsid w:val="00277B96"/>
    <w:rsid w:val="0028069F"/>
    <w:rsid w:val="002806D0"/>
    <w:rsid w:val="0028075A"/>
    <w:rsid w:val="002809F5"/>
    <w:rsid w:val="00281349"/>
    <w:rsid w:val="002819A6"/>
    <w:rsid w:val="00281E3E"/>
    <w:rsid w:val="002820EC"/>
    <w:rsid w:val="00282258"/>
    <w:rsid w:val="00282458"/>
    <w:rsid w:val="002826BB"/>
    <w:rsid w:val="00282BE2"/>
    <w:rsid w:val="00282D0F"/>
    <w:rsid w:val="00282DBC"/>
    <w:rsid w:val="00282EA1"/>
    <w:rsid w:val="00283239"/>
    <w:rsid w:val="002832F6"/>
    <w:rsid w:val="002833FF"/>
    <w:rsid w:val="002834FB"/>
    <w:rsid w:val="002835CB"/>
    <w:rsid w:val="002838AE"/>
    <w:rsid w:val="002839CF"/>
    <w:rsid w:val="00283E24"/>
    <w:rsid w:val="00284570"/>
    <w:rsid w:val="0028516D"/>
    <w:rsid w:val="00285272"/>
    <w:rsid w:val="002854EB"/>
    <w:rsid w:val="0028561F"/>
    <w:rsid w:val="00285A36"/>
    <w:rsid w:val="00285FB8"/>
    <w:rsid w:val="00286444"/>
    <w:rsid w:val="00286916"/>
    <w:rsid w:val="00286B45"/>
    <w:rsid w:val="00286C6D"/>
    <w:rsid w:val="002877EA"/>
    <w:rsid w:val="0028785A"/>
    <w:rsid w:val="00287F39"/>
    <w:rsid w:val="002904B5"/>
    <w:rsid w:val="002905F8"/>
    <w:rsid w:val="00290798"/>
    <w:rsid w:val="00290A9D"/>
    <w:rsid w:val="00290ACA"/>
    <w:rsid w:val="00291187"/>
    <w:rsid w:val="00291539"/>
    <w:rsid w:val="002916B3"/>
    <w:rsid w:val="00291D86"/>
    <w:rsid w:val="00291FEF"/>
    <w:rsid w:val="00292BE5"/>
    <w:rsid w:val="002931D7"/>
    <w:rsid w:val="00293203"/>
    <w:rsid w:val="002932BA"/>
    <w:rsid w:val="0029370E"/>
    <w:rsid w:val="00293D6D"/>
    <w:rsid w:val="00294361"/>
    <w:rsid w:val="0029495D"/>
    <w:rsid w:val="00294979"/>
    <w:rsid w:val="0029524A"/>
    <w:rsid w:val="002952C2"/>
    <w:rsid w:val="00295394"/>
    <w:rsid w:val="0029554C"/>
    <w:rsid w:val="002955D5"/>
    <w:rsid w:val="002955F1"/>
    <w:rsid w:val="00295DD8"/>
    <w:rsid w:val="00296086"/>
    <w:rsid w:val="00296215"/>
    <w:rsid w:val="00296414"/>
    <w:rsid w:val="002967A2"/>
    <w:rsid w:val="00296BD2"/>
    <w:rsid w:val="00296CB5"/>
    <w:rsid w:val="00296CE9"/>
    <w:rsid w:val="00296DC6"/>
    <w:rsid w:val="00296E41"/>
    <w:rsid w:val="002975BD"/>
    <w:rsid w:val="00297757"/>
    <w:rsid w:val="002979BF"/>
    <w:rsid w:val="002A0392"/>
    <w:rsid w:val="002A0584"/>
    <w:rsid w:val="002A06F9"/>
    <w:rsid w:val="002A0AC1"/>
    <w:rsid w:val="002A0B5E"/>
    <w:rsid w:val="002A0DDE"/>
    <w:rsid w:val="002A0EFB"/>
    <w:rsid w:val="002A2570"/>
    <w:rsid w:val="002A28AB"/>
    <w:rsid w:val="002A2B2A"/>
    <w:rsid w:val="002A2B73"/>
    <w:rsid w:val="002A2D8F"/>
    <w:rsid w:val="002A2FB0"/>
    <w:rsid w:val="002A3A7E"/>
    <w:rsid w:val="002A4080"/>
    <w:rsid w:val="002A453B"/>
    <w:rsid w:val="002A4D31"/>
    <w:rsid w:val="002A4DEF"/>
    <w:rsid w:val="002A4E45"/>
    <w:rsid w:val="002A4EC2"/>
    <w:rsid w:val="002A4F91"/>
    <w:rsid w:val="002A50E9"/>
    <w:rsid w:val="002A562A"/>
    <w:rsid w:val="002A59AE"/>
    <w:rsid w:val="002A5D7F"/>
    <w:rsid w:val="002A5DC1"/>
    <w:rsid w:val="002A5FC1"/>
    <w:rsid w:val="002A6233"/>
    <w:rsid w:val="002A649B"/>
    <w:rsid w:val="002A66E2"/>
    <w:rsid w:val="002A6940"/>
    <w:rsid w:val="002A6CD2"/>
    <w:rsid w:val="002A717E"/>
    <w:rsid w:val="002A74B4"/>
    <w:rsid w:val="002A75D5"/>
    <w:rsid w:val="002A76A3"/>
    <w:rsid w:val="002A77EA"/>
    <w:rsid w:val="002A7A11"/>
    <w:rsid w:val="002A7B62"/>
    <w:rsid w:val="002B0858"/>
    <w:rsid w:val="002B0FDE"/>
    <w:rsid w:val="002B10EE"/>
    <w:rsid w:val="002B1216"/>
    <w:rsid w:val="002B132F"/>
    <w:rsid w:val="002B162B"/>
    <w:rsid w:val="002B176B"/>
    <w:rsid w:val="002B1D3F"/>
    <w:rsid w:val="002B2007"/>
    <w:rsid w:val="002B2198"/>
    <w:rsid w:val="002B292D"/>
    <w:rsid w:val="002B2AE8"/>
    <w:rsid w:val="002B2DE7"/>
    <w:rsid w:val="002B2EF9"/>
    <w:rsid w:val="002B2F27"/>
    <w:rsid w:val="002B2FEB"/>
    <w:rsid w:val="002B393D"/>
    <w:rsid w:val="002B3B38"/>
    <w:rsid w:val="002B3DCF"/>
    <w:rsid w:val="002B4003"/>
    <w:rsid w:val="002B4303"/>
    <w:rsid w:val="002B4437"/>
    <w:rsid w:val="002B4649"/>
    <w:rsid w:val="002B4908"/>
    <w:rsid w:val="002B4991"/>
    <w:rsid w:val="002B4CA4"/>
    <w:rsid w:val="002B4D9E"/>
    <w:rsid w:val="002B502A"/>
    <w:rsid w:val="002B5372"/>
    <w:rsid w:val="002B5A22"/>
    <w:rsid w:val="002B5D02"/>
    <w:rsid w:val="002B606D"/>
    <w:rsid w:val="002B621F"/>
    <w:rsid w:val="002B6B8B"/>
    <w:rsid w:val="002B6E4E"/>
    <w:rsid w:val="002B7136"/>
    <w:rsid w:val="002B726C"/>
    <w:rsid w:val="002B73E4"/>
    <w:rsid w:val="002B7430"/>
    <w:rsid w:val="002B79E5"/>
    <w:rsid w:val="002B7BBD"/>
    <w:rsid w:val="002B7D30"/>
    <w:rsid w:val="002B7D75"/>
    <w:rsid w:val="002B7ECC"/>
    <w:rsid w:val="002C00DB"/>
    <w:rsid w:val="002C026E"/>
    <w:rsid w:val="002C0AE2"/>
    <w:rsid w:val="002C0E9A"/>
    <w:rsid w:val="002C1104"/>
    <w:rsid w:val="002C1165"/>
    <w:rsid w:val="002C190D"/>
    <w:rsid w:val="002C1A41"/>
    <w:rsid w:val="002C1A99"/>
    <w:rsid w:val="002C1B2D"/>
    <w:rsid w:val="002C1D59"/>
    <w:rsid w:val="002C1E77"/>
    <w:rsid w:val="002C1EAC"/>
    <w:rsid w:val="002C2062"/>
    <w:rsid w:val="002C2236"/>
    <w:rsid w:val="002C2650"/>
    <w:rsid w:val="002C2838"/>
    <w:rsid w:val="002C2C34"/>
    <w:rsid w:val="002C2C7E"/>
    <w:rsid w:val="002C2D68"/>
    <w:rsid w:val="002C2D6D"/>
    <w:rsid w:val="002C30BB"/>
    <w:rsid w:val="002C31E0"/>
    <w:rsid w:val="002C3643"/>
    <w:rsid w:val="002C3AE2"/>
    <w:rsid w:val="002C3CDA"/>
    <w:rsid w:val="002C3FEF"/>
    <w:rsid w:val="002C42FF"/>
    <w:rsid w:val="002C4850"/>
    <w:rsid w:val="002C495D"/>
    <w:rsid w:val="002C5103"/>
    <w:rsid w:val="002C52EC"/>
    <w:rsid w:val="002C5B1C"/>
    <w:rsid w:val="002C61BC"/>
    <w:rsid w:val="002C6319"/>
    <w:rsid w:val="002C6690"/>
    <w:rsid w:val="002C6771"/>
    <w:rsid w:val="002C68E8"/>
    <w:rsid w:val="002C6B59"/>
    <w:rsid w:val="002C6CEB"/>
    <w:rsid w:val="002C73CE"/>
    <w:rsid w:val="002C7A16"/>
    <w:rsid w:val="002C7C32"/>
    <w:rsid w:val="002D0000"/>
    <w:rsid w:val="002D021E"/>
    <w:rsid w:val="002D087F"/>
    <w:rsid w:val="002D0980"/>
    <w:rsid w:val="002D09B4"/>
    <w:rsid w:val="002D0EE1"/>
    <w:rsid w:val="002D145E"/>
    <w:rsid w:val="002D162F"/>
    <w:rsid w:val="002D1696"/>
    <w:rsid w:val="002D18A8"/>
    <w:rsid w:val="002D1F04"/>
    <w:rsid w:val="002D1FA3"/>
    <w:rsid w:val="002D1FFD"/>
    <w:rsid w:val="002D230F"/>
    <w:rsid w:val="002D23D8"/>
    <w:rsid w:val="002D2529"/>
    <w:rsid w:val="002D2DA4"/>
    <w:rsid w:val="002D3206"/>
    <w:rsid w:val="002D396F"/>
    <w:rsid w:val="002D3BA6"/>
    <w:rsid w:val="002D3D3F"/>
    <w:rsid w:val="002D3D85"/>
    <w:rsid w:val="002D424E"/>
    <w:rsid w:val="002D4254"/>
    <w:rsid w:val="002D4636"/>
    <w:rsid w:val="002D4758"/>
    <w:rsid w:val="002D47CC"/>
    <w:rsid w:val="002D4B49"/>
    <w:rsid w:val="002D4E6E"/>
    <w:rsid w:val="002D5685"/>
    <w:rsid w:val="002D59B3"/>
    <w:rsid w:val="002D5DF1"/>
    <w:rsid w:val="002D5FC9"/>
    <w:rsid w:val="002D6428"/>
    <w:rsid w:val="002D664E"/>
    <w:rsid w:val="002D6B73"/>
    <w:rsid w:val="002D6C2B"/>
    <w:rsid w:val="002D7058"/>
    <w:rsid w:val="002D7557"/>
    <w:rsid w:val="002D7640"/>
    <w:rsid w:val="002D7829"/>
    <w:rsid w:val="002D78E9"/>
    <w:rsid w:val="002D7ABF"/>
    <w:rsid w:val="002D7C04"/>
    <w:rsid w:val="002D7F33"/>
    <w:rsid w:val="002D7F47"/>
    <w:rsid w:val="002E1121"/>
    <w:rsid w:val="002E13BC"/>
    <w:rsid w:val="002E19C7"/>
    <w:rsid w:val="002E1A10"/>
    <w:rsid w:val="002E1BC9"/>
    <w:rsid w:val="002E21CF"/>
    <w:rsid w:val="002E2431"/>
    <w:rsid w:val="002E2BCA"/>
    <w:rsid w:val="002E2D90"/>
    <w:rsid w:val="002E322F"/>
    <w:rsid w:val="002E335C"/>
    <w:rsid w:val="002E372F"/>
    <w:rsid w:val="002E396A"/>
    <w:rsid w:val="002E3AF5"/>
    <w:rsid w:val="002E3EEC"/>
    <w:rsid w:val="002E3F37"/>
    <w:rsid w:val="002E3FA6"/>
    <w:rsid w:val="002E435E"/>
    <w:rsid w:val="002E4BC4"/>
    <w:rsid w:val="002E50D2"/>
    <w:rsid w:val="002E511A"/>
    <w:rsid w:val="002E51EE"/>
    <w:rsid w:val="002E54C4"/>
    <w:rsid w:val="002E573E"/>
    <w:rsid w:val="002E57CC"/>
    <w:rsid w:val="002E5CEB"/>
    <w:rsid w:val="002E5F7D"/>
    <w:rsid w:val="002E646C"/>
    <w:rsid w:val="002E6611"/>
    <w:rsid w:val="002E66CC"/>
    <w:rsid w:val="002E67A2"/>
    <w:rsid w:val="002E69C7"/>
    <w:rsid w:val="002E6E3E"/>
    <w:rsid w:val="002E728E"/>
    <w:rsid w:val="002E7791"/>
    <w:rsid w:val="002E7A0B"/>
    <w:rsid w:val="002F0034"/>
    <w:rsid w:val="002F0300"/>
    <w:rsid w:val="002F097B"/>
    <w:rsid w:val="002F16E1"/>
    <w:rsid w:val="002F1E38"/>
    <w:rsid w:val="002F2377"/>
    <w:rsid w:val="002F2DE7"/>
    <w:rsid w:val="002F31CC"/>
    <w:rsid w:val="002F348E"/>
    <w:rsid w:val="002F40E8"/>
    <w:rsid w:val="002F4388"/>
    <w:rsid w:val="002F43AC"/>
    <w:rsid w:val="002F4404"/>
    <w:rsid w:val="002F45E2"/>
    <w:rsid w:val="002F4ABE"/>
    <w:rsid w:val="002F4AD0"/>
    <w:rsid w:val="002F4C60"/>
    <w:rsid w:val="002F5264"/>
    <w:rsid w:val="002F5281"/>
    <w:rsid w:val="002F5421"/>
    <w:rsid w:val="002F552B"/>
    <w:rsid w:val="002F5593"/>
    <w:rsid w:val="002F567C"/>
    <w:rsid w:val="002F5AD5"/>
    <w:rsid w:val="002F627E"/>
    <w:rsid w:val="002F6628"/>
    <w:rsid w:val="002F6704"/>
    <w:rsid w:val="002F670C"/>
    <w:rsid w:val="002F724B"/>
    <w:rsid w:val="002F789D"/>
    <w:rsid w:val="002F78AE"/>
    <w:rsid w:val="002F7908"/>
    <w:rsid w:val="002F7A93"/>
    <w:rsid w:val="002F7FF9"/>
    <w:rsid w:val="00300057"/>
    <w:rsid w:val="003000FE"/>
    <w:rsid w:val="0030013E"/>
    <w:rsid w:val="00300662"/>
    <w:rsid w:val="003007E1"/>
    <w:rsid w:val="003008F0"/>
    <w:rsid w:val="00300EC1"/>
    <w:rsid w:val="003010CF"/>
    <w:rsid w:val="003013BB"/>
    <w:rsid w:val="00301893"/>
    <w:rsid w:val="00301B42"/>
    <w:rsid w:val="00302252"/>
    <w:rsid w:val="003024A7"/>
    <w:rsid w:val="00302A0E"/>
    <w:rsid w:val="00302B1E"/>
    <w:rsid w:val="00302D34"/>
    <w:rsid w:val="00302D35"/>
    <w:rsid w:val="00302F8C"/>
    <w:rsid w:val="00302FAC"/>
    <w:rsid w:val="00302FE5"/>
    <w:rsid w:val="0030309B"/>
    <w:rsid w:val="00303261"/>
    <w:rsid w:val="00303678"/>
    <w:rsid w:val="003039A9"/>
    <w:rsid w:val="003039D6"/>
    <w:rsid w:val="003045EC"/>
    <w:rsid w:val="00304BC9"/>
    <w:rsid w:val="00304BEA"/>
    <w:rsid w:val="00305444"/>
    <w:rsid w:val="003055AE"/>
    <w:rsid w:val="003058CA"/>
    <w:rsid w:val="00305CBB"/>
    <w:rsid w:val="0030634C"/>
    <w:rsid w:val="00306471"/>
    <w:rsid w:val="0030679A"/>
    <w:rsid w:val="00306CAC"/>
    <w:rsid w:val="00306FD5"/>
    <w:rsid w:val="00306FE3"/>
    <w:rsid w:val="00307272"/>
    <w:rsid w:val="00307A8C"/>
    <w:rsid w:val="00307D21"/>
    <w:rsid w:val="00310B54"/>
    <w:rsid w:val="0031111A"/>
    <w:rsid w:val="00311294"/>
    <w:rsid w:val="0031138C"/>
    <w:rsid w:val="003115B5"/>
    <w:rsid w:val="00311F82"/>
    <w:rsid w:val="00312166"/>
    <w:rsid w:val="0031228D"/>
    <w:rsid w:val="0031232B"/>
    <w:rsid w:val="0031267F"/>
    <w:rsid w:val="0031285E"/>
    <w:rsid w:val="00312921"/>
    <w:rsid w:val="00312D28"/>
    <w:rsid w:val="00312E3A"/>
    <w:rsid w:val="0031374E"/>
    <w:rsid w:val="00313D97"/>
    <w:rsid w:val="00314090"/>
    <w:rsid w:val="00314E07"/>
    <w:rsid w:val="003154EC"/>
    <w:rsid w:val="003158E0"/>
    <w:rsid w:val="003162D5"/>
    <w:rsid w:val="003167E1"/>
    <w:rsid w:val="003168CA"/>
    <w:rsid w:val="003169F8"/>
    <w:rsid w:val="00316A10"/>
    <w:rsid w:val="00316BE3"/>
    <w:rsid w:val="00316BFA"/>
    <w:rsid w:val="00316C7B"/>
    <w:rsid w:val="00316CA8"/>
    <w:rsid w:val="00316D36"/>
    <w:rsid w:val="00316D90"/>
    <w:rsid w:val="00317248"/>
    <w:rsid w:val="003174C9"/>
    <w:rsid w:val="0031768A"/>
    <w:rsid w:val="00317F56"/>
    <w:rsid w:val="003200AA"/>
    <w:rsid w:val="003203F1"/>
    <w:rsid w:val="003204F6"/>
    <w:rsid w:val="003206C6"/>
    <w:rsid w:val="003207CF"/>
    <w:rsid w:val="0032095C"/>
    <w:rsid w:val="003209D4"/>
    <w:rsid w:val="00321D36"/>
    <w:rsid w:val="00321DC8"/>
    <w:rsid w:val="00321DF6"/>
    <w:rsid w:val="00321FB6"/>
    <w:rsid w:val="00321FE9"/>
    <w:rsid w:val="00322785"/>
    <w:rsid w:val="00322905"/>
    <w:rsid w:val="00322B7A"/>
    <w:rsid w:val="00322C4E"/>
    <w:rsid w:val="0032323E"/>
    <w:rsid w:val="003234DF"/>
    <w:rsid w:val="003234F1"/>
    <w:rsid w:val="0032382C"/>
    <w:rsid w:val="00323AAE"/>
    <w:rsid w:val="00323B4B"/>
    <w:rsid w:val="00323F0A"/>
    <w:rsid w:val="00323F96"/>
    <w:rsid w:val="00323FDF"/>
    <w:rsid w:val="0032415F"/>
    <w:rsid w:val="0032451E"/>
    <w:rsid w:val="00324822"/>
    <w:rsid w:val="00324828"/>
    <w:rsid w:val="003255DC"/>
    <w:rsid w:val="00326139"/>
    <w:rsid w:val="00326916"/>
    <w:rsid w:val="00326CA7"/>
    <w:rsid w:val="00326F4C"/>
    <w:rsid w:val="00326FC5"/>
    <w:rsid w:val="003274F1"/>
    <w:rsid w:val="00330679"/>
    <w:rsid w:val="003307F7"/>
    <w:rsid w:val="00330965"/>
    <w:rsid w:val="00330AC8"/>
    <w:rsid w:val="003310EC"/>
    <w:rsid w:val="00331367"/>
    <w:rsid w:val="0033144C"/>
    <w:rsid w:val="00331635"/>
    <w:rsid w:val="003323E6"/>
    <w:rsid w:val="00332659"/>
    <w:rsid w:val="0033266F"/>
    <w:rsid w:val="00332796"/>
    <w:rsid w:val="00332AEA"/>
    <w:rsid w:val="0033321E"/>
    <w:rsid w:val="003333B0"/>
    <w:rsid w:val="003333FC"/>
    <w:rsid w:val="0033343E"/>
    <w:rsid w:val="003338D3"/>
    <w:rsid w:val="00333B32"/>
    <w:rsid w:val="00334186"/>
    <w:rsid w:val="00334504"/>
    <w:rsid w:val="00334DC3"/>
    <w:rsid w:val="0033524C"/>
    <w:rsid w:val="0033525F"/>
    <w:rsid w:val="003357B1"/>
    <w:rsid w:val="00335919"/>
    <w:rsid w:val="00335B9C"/>
    <w:rsid w:val="00335CD1"/>
    <w:rsid w:val="00335D76"/>
    <w:rsid w:val="00335E7A"/>
    <w:rsid w:val="00335F58"/>
    <w:rsid w:val="00336070"/>
    <w:rsid w:val="00336197"/>
    <w:rsid w:val="003361FF"/>
    <w:rsid w:val="0033635C"/>
    <w:rsid w:val="00336628"/>
    <w:rsid w:val="003367BE"/>
    <w:rsid w:val="0033694E"/>
    <w:rsid w:val="00336CDE"/>
    <w:rsid w:val="00336F96"/>
    <w:rsid w:val="003372B9"/>
    <w:rsid w:val="00337564"/>
    <w:rsid w:val="00337CCE"/>
    <w:rsid w:val="00337EE8"/>
    <w:rsid w:val="0034026F"/>
    <w:rsid w:val="0034042A"/>
    <w:rsid w:val="003404A9"/>
    <w:rsid w:val="00340BBC"/>
    <w:rsid w:val="00340D39"/>
    <w:rsid w:val="003411DD"/>
    <w:rsid w:val="00341275"/>
    <w:rsid w:val="003414E3"/>
    <w:rsid w:val="00341724"/>
    <w:rsid w:val="00341950"/>
    <w:rsid w:val="00341A3A"/>
    <w:rsid w:val="00341B9A"/>
    <w:rsid w:val="00341C93"/>
    <w:rsid w:val="00341D2D"/>
    <w:rsid w:val="00341E29"/>
    <w:rsid w:val="003434F8"/>
    <w:rsid w:val="00343CC8"/>
    <w:rsid w:val="00343E87"/>
    <w:rsid w:val="003440DB"/>
    <w:rsid w:val="0034428F"/>
    <w:rsid w:val="003447F6"/>
    <w:rsid w:val="00344D89"/>
    <w:rsid w:val="00344E43"/>
    <w:rsid w:val="00344F0C"/>
    <w:rsid w:val="00345226"/>
    <w:rsid w:val="00345365"/>
    <w:rsid w:val="00345831"/>
    <w:rsid w:val="00346188"/>
    <w:rsid w:val="003461BA"/>
    <w:rsid w:val="00346258"/>
    <w:rsid w:val="0034666B"/>
    <w:rsid w:val="0034682B"/>
    <w:rsid w:val="00346BAD"/>
    <w:rsid w:val="00346BF8"/>
    <w:rsid w:val="00347078"/>
    <w:rsid w:val="0034716A"/>
    <w:rsid w:val="0034732B"/>
    <w:rsid w:val="00347627"/>
    <w:rsid w:val="00347C93"/>
    <w:rsid w:val="00347DD5"/>
    <w:rsid w:val="0035026B"/>
    <w:rsid w:val="003506AE"/>
    <w:rsid w:val="003513DA"/>
    <w:rsid w:val="00351A0F"/>
    <w:rsid w:val="00351B8A"/>
    <w:rsid w:val="00351EF5"/>
    <w:rsid w:val="003526BF"/>
    <w:rsid w:val="00352CE2"/>
    <w:rsid w:val="00352D3A"/>
    <w:rsid w:val="00352E6C"/>
    <w:rsid w:val="00352FF1"/>
    <w:rsid w:val="00353027"/>
    <w:rsid w:val="00353389"/>
    <w:rsid w:val="00353672"/>
    <w:rsid w:val="00353E2D"/>
    <w:rsid w:val="00353E38"/>
    <w:rsid w:val="0035400A"/>
    <w:rsid w:val="00354558"/>
    <w:rsid w:val="0035467F"/>
    <w:rsid w:val="003546E3"/>
    <w:rsid w:val="00354992"/>
    <w:rsid w:val="00354AC2"/>
    <w:rsid w:val="00354C08"/>
    <w:rsid w:val="00354CD7"/>
    <w:rsid w:val="00354D98"/>
    <w:rsid w:val="00354FD5"/>
    <w:rsid w:val="00355268"/>
    <w:rsid w:val="0035550A"/>
    <w:rsid w:val="00355AB9"/>
    <w:rsid w:val="00355E49"/>
    <w:rsid w:val="00355E4F"/>
    <w:rsid w:val="0035608E"/>
    <w:rsid w:val="0035626A"/>
    <w:rsid w:val="0035633F"/>
    <w:rsid w:val="0035694D"/>
    <w:rsid w:val="00356B26"/>
    <w:rsid w:val="00356B5C"/>
    <w:rsid w:val="00356BEC"/>
    <w:rsid w:val="00356F40"/>
    <w:rsid w:val="00357AFB"/>
    <w:rsid w:val="00357D36"/>
    <w:rsid w:val="00357DE0"/>
    <w:rsid w:val="00357FC8"/>
    <w:rsid w:val="003602C2"/>
    <w:rsid w:val="0036030D"/>
    <w:rsid w:val="00360831"/>
    <w:rsid w:val="00360988"/>
    <w:rsid w:val="00360A25"/>
    <w:rsid w:val="00360CBE"/>
    <w:rsid w:val="003613F3"/>
    <w:rsid w:val="0036160A"/>
    <w:rsid w:val="00361854"/>
    <w:rsid w:val="00361D99"/>
    <w:rsid w:val="003624F1"/>
    <w:rsid w:val="0036268E"/>
    <w:rsid w:val="00362C5A"/>
    <w:rsid w:val="0036360F"/>
    <w:rsid w:val="003638D1"/>
    <w:rsid w:val="003638D8"/>
    <w:rsid w:val="00363BA8"/>
    <w:rsid w:val="00363C01"/>
    <w:rsid w:val="00363CFA"/>
    <w:rsid w:val="00363DA3"/>
    <w:rsid w:val="00364034"/>
    <w:rsid w:val="0036467E"/>
    <w:rsid w:val="00364EDE"/>
    <w:rsid w:val="00364FC8"/>
    <w:rsid w:val="0036525C"/>
    <w:rsid w:val="0036610F"/>
    <w:rsid w:val="00366392"/>
    <w:rsid w:val="0036643E"/>
    <w:rsid w:val="00366B9E"/>
    <w:rsid w:val="00367055"/>
    <w:rsid w:val="0036740B"/>
    <w:rsid w:val="00367582"/>
    <w:rsid w:val="00367A35"/>
    <w:rsid w:val="00367B81"/>
    <w:rsid w:val="003701FE"/>
    <w:rsid w:val="0037039A"/>
    <w:rsid w:val="00370434"/>
    <w:rsid w:val="0037070F"/>
    <w:rsid w:val="00370761"/>
    <w:rsid w:val="00371C13"/>
    <w:rsid w:val="00371CF1"/>
    <w:rsid w:val="00371F4B"/>
    <w:rsid w:val="0037204C"/>
    <w:rsid w:val="003722E5"/>
    <w:rsid w:val="0037244D"/>
    <w:rsid w:val="003727FF"/>
    <w:rsid w:val="003729E8"/>
    <w:rsid w:val="00372C8D"/>
    <w:rsid w:val="00372E09"/>
    <w:rsid w:val="00372FAF"/>
    <w:rsid w:val="0037334B"/>
    <w:rsid w:val="003735A7"/>
    <w:rsid w:val="003735B9"/>
    <w:rsid w:val="0037398C"/>
    <w:rsid w:val="00373AC4"/>
    <w:rsid w:val="00374070"/>
    <w:rsid w:val="00374A3C"/>
    <w:rsid w:val="003754CF"/>
    <w:rsid w:val="003756C2"/>
    <w:rsid w:val="00375A41"/>
    <w:rsid w:val="00375E97"/>
    <w:rsid w:val="0037618F"/>
    <w:rsid w:val="00376385"/>
    <w:rsid w:val="0037705C"/>
    <w:rsid w:val="00377179"/>
    <w:rsid w:val="00377211"/>
    <w:rsid w:val="003772EB"/>
    <w:rsid w:val="003778C3"/>
    <w:rsid w:val="00377B59"/>
    <w:rsid w:val="00377C1A"/>
    <w:rsid w:val="00377DC6"/>
    <w:rsid w:val="003805C5"/>
    <w:rsid w:val="003809CC"/>
    <w:rsid w:val="00380DBD"/>
    <w:rsid w:val="00380E5B"/>
    <w:rsid w:val="003813CA"/>
    <w:rsid w:val="003819B4"/>
    <w:rsid w:val="003819D8"/>
    <w:rsid w:val="00381AED"/>
    <w:rsid w:val="00381BBC"/>
    <w:rsid w:val="003822EA"/>
    <w:rsid w:val="003823EE"/>
    <w:rsid w:val="0038252C"/>
    <w:rsid w:val="00382DE8"/>
    <w:rsid w:val="00382F13"/>
    <w:rsid w:val="00383FAD"/>
    <w:rsid w:val="00384124"/>
    <w:rsid w:val="003849D3"/>
    <w:rsid w:val="00384BFC"/>
    <w:rsid w:val="00384F13"/>
    <w:rsid w:val="00385203"/>
    <w:rsid w:val="003853C1"/>
    <w:rsid w:val="00385738"/>
    <w:rsid w:val="003859B7"/>
    <w:rsid w:val="00385D9D"/>
    <w:rsid w:val="00386242"/>
    <w:rsid w:val="003864FD"/>
    <w:rsid w:val="003867BB"/>
    <w:rsid w:val="00386ABE"/>
    <w:rsid w:val="00387005"/>
    <w:rsid w:val="00387777"/>
    <w:rsid w:val="00387B0C"/>
    <w:rsid w:val="00387E7A"/>
    <w:rsid w:val="003901F2"/>
    <w:rsid w:val="003906C3"/>
    <w:rsid w:val="00390A29"/>
    <w:rsid w:val="00390D1E"/>
    <w:rsid w:val="00390D27"/>
    <w:rsid w:val="00390F2D"/>
    <w:rsid w:val="00391198"/>
    <w:rsid w:val="003911F5"/>
    <w:rsid w:val="00392165"/>
    <w:rsid w:val="00392798"/>
    <w:rsid w:val="00392A86"/>
    <w:rsid w:val="00393020"/>
    <w:rsid w:val="0039377A"/>
    <w:rsid w:val="00393A26"/>
    <w:rsid w:val="00393D75"/>
    <w:rsid w:val="00394787"/>
    <w:rsid w:val="00394882"/>
    <w:rsid w:val="00394A1E"/>
    <w:rsid w:val="00394DCD"/>
    <w:rsid w:val="00395097"/>
    <w:rsid w:val="003957A7"/>
    <w:rsid w:val="00396058"/>
    <w:rsid w:val="00396CE8"/>
    <w:rsid w:val="003971C7"/>
    <w:rsid w:val="0039762A"/>
    <w:rsid w:val="00397C64"/>
    <w:rsid w:val="00397CE1"/>
    <w:rsid w:val="00397EC1"/>
    <w:rsid w:val="003A04C1"/>
    <w:rsid w:val="003A089D"/>
    <w:rsid w:val="003A08A5"/>
    <w:rsid w:val="003A0B0C"/>
    <w:rsid w:val="003A0C53"/>
    <w:rsid w:val="003A0DA2"/>
    <w:rsid w:val="003A1066"/>
    <w:rsid w:val="003A11BC"/>
    <w:rsid w:val="003A11ED"/>
    <w:rsid w:val="003A1215"/>
    <w:rsid w:val="003A133C"/>
    <w:rsid w:val="003A173C"/>
    <w:rsid w:val="003A1872"/>
    <w:rsid w:val="003A1C26"/>
    <w:rsid w:val="003A1D75"/>
    <w:rsid w:val="003A1E10"/>
    <w:rsid w:val="003A1E7C"/>
    <w:rsid w:val="003A2149"/>
    <w:rsid w:val="003A215A"/>
    <w:rsid w:val="003A218E"/>
    <w:rsid w:val="003A23CF"/>
    <w:rsid w:val="003A25AB"/>
    <w:rsid w:val="003A2A87"/>
    <w:rsid w:val="003A2DA0"/>
    <w:rsid w:val="003A3340"/>
    <w:rsid w:val="003A3450"/>
    <w:rsid w:val="003A34A1"/>
    <w:rsid w:val="003A34C3"/>
    <w:rsid w:val="003A35B5"/>
    <w:rsid w:val="003A36DB"/>
    <w:rsid w:val="003A39FF"/>
    <w:rsid w:val="003A3C69"/>
    <w:rsid w:val="003A3ED6"/>
    <w:rsid w:val="003A40EE"/>
    <w:rsid w:val="003A4481"/>
    <w:rsid w:val="003A46F4"/>
    <w:rsid w:val="003A4DE5"/>
    <w:rsid w:val="003A4FB5"/>
    <w:rsid w:val="003A53D3"/>
    <w:rsid w:val="003A5833"/>
    <w:rsid w:val="003A5A12"/>
    <w:rsid w:val="003A6610"/>
    <w:rsid w:val="003A6A0F"/>
    <w:rsid w:val="003A6C20"/>
    <w:rsid w:val="003A6D45"/>
    <w:rsid w:val="003A7049"/>
    <w:rsid w:val="003A75DA"/>
    <w:rsid w:val="003A78E4"/>
    <w:rsid w:val="003A797C"/>
    <w:rsid w:val="003A7A81"/>
    <w:rsid w:val="003B0174"/>
    <w:rsid w:val="003B0557"/>
    <w:rsid w:val="003B066A"/>
    <w:rsid w:val="003B0945"/>
    <w:rsid w:val="003B097F"/>
    <w:rsid w:val="003B0CBC"/>
    <w:rsid w:val="003B0F6A"/>
    <w:rsid w:val="003B12BB"/>
    <w:rsid w:val="003B1327"/>
    <w:rsid w:val="003B1473"/>
    <w:rsid w:val="003B18E4"/>
    <w:rsid w:val="003B1C72"/>
    <w:rsid w:val="003B1D7D"/>
    <w:rsid w:val="003B1FE7"/>
    <w:rsid w:val="003B2076"/>
    <w:rsid w:val="003B2081"/>
    <w:rsid w:val="003B2263"/>
    <w:rsid w:val="003B2534"/>
    <w:rsid w:val="003B261B"/>
    <w:rsid w:val="003B269B"/>
    <w:rsid w:val="003B2863"/>
    <w:rsid w:val="003B2D4C"/>
    <w:rsid w:val="003B2DA6"/>
    <w:rsid w:val="003B33D0"/>
    <w:rsid w:val="003B36E1"/>
    <w:rsid w:val="003B3AA4"/>
    <w:rsid w:val="003B3B2C"/>
    <w:rsid w:val="003B3BF5"/>
    <w:rsid w:val="003B3F0A"/>
    <w:rsid w:val="003B439C"/>
    <w:rsid w:val="003B43DE"/>
    <w:rsid w:val="003B47DF"/>
    <w:rsid w:val="003B47E5"/>
    <w:rsid w:val="003B4876"/>
    <w:rsid w:val="003B4965"/>
    <w:rsid w:val="003B4B1A"/>
    <w:rsid w:val="003B4C3A"/>
    <w:rsid w:val="003B4DCF"/>
    <w:rsid w:val="003B4F87"/>
    <w:rsid w:val="003B5082"/>
    <w:rsid w:val="003B520A"/>
    <w:rsid w:val="003B57DC"/>
    <w:rsid w:val="003B58B0"/>
    <w:rsid w:val="003B649E"/>
    <w:rsid w:val="003B655F"/>
    <w:rsid w:val="003B69A3"/>
    <w:rsid w:val="003B6F96"/>
    <w:rsid w:val="003B704A"/>
    <w:rsid w:val="003B70C9"/>
    <w:rsid w:val="003B72F8"/>
    <w:rsid w:val="003B735A"/>
    <w:rsid w:val="003B75F2"/>
    <w:rsid w:val="003B76B8"/>
    <w:rsid w:val="003B7868"/>
    <w:rsid w:val="003B78EC"/>
    <w:rsid w:val="003B7B3B"/>
    <w:rsid w:val="003B7C54"/>
    <w:rsid w:val="003C009E"/>
    <w:rsid w:val="003C01C0"/>
    <w:rsid w:val="003C0880"/>
    <w:rsid w:val="003C0E04"/>
    <w:rsid w:val="003C1293"/>
    <w:rsid w:val="003C1605"/>
    <w:rsid w:val="003C162E"/>
    <w:rsid w:val="003C1EC0"/>
    <w:rsid w:val="003C2851"/>
    <w:rsid w:val="003C2A55"/>
    <w:rsid w:val="003C2A72"/>
    <w:rsid w:val="003C2D25"/>
    <w:rsid w:val="003C2F76"/>
    <w:rsid w:val="003C2F8B"/>
    <w:rsid w:val="003C3009"/>
    <w:rsid w:val="003C36A8"/>
    <w:rsid w:val="003C3A45"/>
    <w:rsid w:val="003C3D14"/>
    <w:rsid w:val="003C43DF"/>
    <w:rsid w:val="003C4581"/>
    <w:rsid w:val="003C45B6"/>
    <w:rsid w:val="003C49A0"/>
    <w:rsid w:val="003C5040"/>
    <w:rsid w:val="003C630D"/>
    <w:rsid w:val="003C648D"/>
    <w:rsid w:val="003C65DB"/>
    <w:rsid w:val="003C6A4E"/>
    <w:rsid w:val="003C72A9"/>
    <w:rsid w:val="003C7328"/>
    <w:rsid w:val="003C73A3"/>
    <w:rsid w:val="003C7A10"/>
    <w:rsid w:val="003C7BE6"/>
    <w:rsid w:val="003C7BE7"/>
    <w:rsid w:val="003C7C5B"/>
    <w:rsid w:val="003C7E02"/>
    <w:rsid w:val="003C7E14"/>
    <w:rsid w:val="003C7ECE"/>
    <w:rsid w:val="003D0240"/>
    <w:rsid w:val="003D036E"/>
    <w:rsid w:val="003D07CE"/>
    <w:rsid w:val="003D08E4"/>
    <w:rsid w:val="003D0956"/>
    <w:rsid w:val="003D0F18"/>
    <w:rsid w:val="003D12D6"/>
    <w:rsid w:val="003D16DC"/>
    <w:rsid w:val="003D2866"/>
    <w:rsid w:val="003D2F78"/>
    <w:rsid w:val="003D3049"/>
    <w:rsid w:val="003D3310"/>
    <w:rsid w:val="003D3B71"/>
    <w:rsid w:val="003D4281"/>
    <w:rsid w:val="003D4534"/>
    <w:rsid w:val="003D489F"/>
    <w:rsid w:val="003D4931"/>
    <w:rsid w:val="003D4D78"/>
    <w:rsid w:val="003D50F5"/>
    <w:rsid w:val="003D56AF"/>
    <w:rsid w:val="003D58B4"/>
    <w:rsid w:val="003D5A09"/>
    <w:rsid w:val="003D5AC3"/>
    <w:rsid w:val="003D5E17"/>
    <w:rsid w:val="003D5FB9"/>
    <w:rsid w:val="003D5FFF"/>
    <w:rsid w:val="003D620F"/>
    <w:rsid w:val="003D624E"/>
    <w:rsid w:val="003D62D4"/>
    <w:rsid w:val="003D641B"/>
    <w:rsid w:val="003D6725"/>
    <w:rsid w:val="003D694D"/>
    <w:rsid w:val="003D6985"/>
    <w:rsid w:val="003D6A44"/>
    <w:rsid w:val="003D6DFA"/>
    <w:rsid w:val="003D6EDD"/>
    <w:rsid w:val="003D6F24"/>
    <w:rsid w:val="003D7317"/>
    <w:rsid w:val="003D7321"/>
    <w:rsid w:val="003D73A4"/>
    <w:rsid w:val="003D73CC"/>
    <w:rsid w:val="003D75D4"/>
    <w:rsid w:val="003D75DD"/>
    <w:rsid w:val="003D7728"/>
    <w:rsid w:val="003D77C9"/>
    <w:rsid w:val="003D7885"/>
    <w:rsid w:val="003D7F19"/>
    <w:rsid w:val="003D7F1A"/>
    <w:rsid w:val="003D7F7C"/>
    <w:rsid w:val="003E026C"/>
    <w:rsid w:val="003E027C"/>
    <w:rsid w:val="003E04C7"/>
    <w:rsid w:val="003E0C7A"/>
    <w:rsid w:val="003E0CBE"/>
    <w:rsid w:val="003E0DC4"/>
    <w:rsid w:val="003E117B"/>
    <w:rsid w:val="003E1198"/>
    <w:rsid w:val="003E1601"/>
    <w:rsid w:val="003E1D88"/>
    <w:rsid w:val="003E1E9A"/>
    <w:rsid w:val="003E1EF3"/>
    <w:rsid w:val="003E2CDE"/>
    <w:rsid w:val="003E2FF0"/>
    <w:rsid w:val="003E3084"/>
    <w:rsid w:val="003E31E5"/>
    <w:rsid w:val="003E3DD3"/>
    <w:rsid w:val="003E3F26"/>
    <w:rsid w:val="003E40F4"/>
    <w:rsid w:val="003E4417"/>
    <w:rsid w:val="003E464F"/>
    <w:rsid w:val="003E47A4"/>
    <w:rsid w:val="003E4CFF"/>
    <w:rsid w:val="003E5227"/>
    <w:rsid w:val="003E5319"/>
    <w:rsid w:val="003E55C2"/>
    <w:rsid w:val="003E5EC7"/>
    <w:rsid w:val="003E66B4"/>
    <w:rsid w:val="003E6A61"/>
    <w:rsid w:val="003E6AF6"/>
    <w:rsid w:val="003E7E45"/>
    <w:rsid w:val="003F00A0"/>
    <w:rsid w:val="003F0186"/>
    <w:rsid w:val="003F02F3"/>
    <w:rsid w:val="003F0672"/>
    <w:rsid w:val="003F0907"/>
    <w:rsid w:val="003F131C"/>
    <w:rsid w:val="003F1988"/>
    <w:rsid w:val="003F1B15"/>
    <w:rsid w:val="003F1E29"/>
    <w:rsid w:val="003F24B8"/>
    <w:rsid w:val="003F27AE"/>
    <w:rsid w:val="003F2C84"/>
    <w:rsid w:val="003F2E09"/>
    <w:rsid w:val="003F2E71"/>
    <w:rsid w:val="003F3401"/>
    <w:rsid w:val="003F3641"/>
    <w:rsid w:val="003F383C"/>
    <w:rsid w:val="003F388C"/>
    <w:rsid w:val="003F4057"/>
    <w:rsid w:val="003F40B9"/>
    <w:rsid w:val="003F41F4"/>
    <w:rsid w:val="003F44A5"/>
    <w:rsid w:val="003F46F2"/>
    <w:rsid w:val="003F5039"/>
    <w:rsid w:val="003F594D"/>
    <w:rsid w:val="003F5E8A"/>
    <w:rsid w:val="003F608C"/>
    <w:rsid w:val="003F6ADD"/>
    <w:rsid w:val="003F6B28"/>
    <w:rsid w:val="003F6C2A"/>
    <w:rsid w:val="003F6C41"/>
    <w:rsid w:val="003F71A1"/>
    <w:rsid w:val="003F73F9"/>
    <w:rsid w:val="003F7D80"/>
    <w:rsid w:val="003F7FC4"/>
    <w:rsid w:val="003F7FF7"/>
    <w:rsid w:val="00400490"/>
    <w:rsid w:val="004008BE"/>
    <w:rsid w:val="00400C3E"/>
    <w:rsid w:val="00401034"/>
    <w:rsid w:val="00401046"/>
    <w:rsid w:val="004010BA"/>
    <w:rsid w:val="00401563"/>
    <w:rsid w:val="00401711"/>
    <w:rsid w:val="00401A84"/>
    <w:rsid w:val="00402234"/>
    <w:rsid w:val="004026C1"/>
    <w:rsid w:val="00402BA5"/>
    <w:rsid w:val="00402EAF"/>
    <w:rsid w:val="00403147"/>
    <w:rsid w:val="00403151"/>
    <w:rsid w:val="004032D9"/>
    <w:rsid w:val="00403AAE"/>
    <w:rsid w:val="00403D82"/>
    <w:rsid w:val="00403E8F"/>
    <w:rsid w:val="004044DA"/>
    <w:rsid w:val="004045B8"/>
    <w:rsid w:val="00404615"/>
    <w:rsid w:val="004046E8"/>
    <w:rsid w:val="00404751"/>
    <w:rsid w:val="00404BDA"/>
    <w:rsid w:val="00404C0D"/>
    <w:rsid w:val="00404E3C"/>
    <w:rsid w:val="00404F92"/>
    <w:rsid w:val="004053BE"/>
    <w:rsid w:val="004056F4"/>
    <w:rsid w:val="00405873"/>
    <w:rsid w:val="00405E83"/>
    <w:rsid w:val="00406331"/>
    <w:rsid w:val="0040681C"/>
    <w:rsid w:val="00407776"/>
    <w:rsid w:val="004104E1"/>
    <w:rsid w:val="00410A74"/>
    <w:rsid w:val="00410D40"/>
    <w:rsid w:val="00411354"/>
    <w:rsid w:val="004114DF"/>
    <w:rsid w:val="00411658"/>
    <w:rsid w:val="004118A8"/>
    <w:rsid w:val="00411D6A"/>
    <w:rsid w:val="00411DB3"/>
    <w:rsid w:val="00411DE4"/>
    <w:rsid w:val="00411FA8"/>
    <w:rsid w:val="00412E11"/>
    <w:rsid w:val="00412E8E"/>
    <w:rsid w:val="00412F95"/>
    <w:rsid w:val="00413776"/>
    <w:rsid w:val="00413A5C"/>
    <w:rsid w:val="0041462A"/>
    <w:rsid w:val="004148C4"/>
    <w:rsid w:val="00414BEE"/>
    <w:rsid w:val="00414CF3"/>
    <w:rsid w:val="00414E2E"/>
    <w:rsid w:val="00415032"/>
    <w:rsid w:val="00415135"/>
    <w:rsid w:val="00415CA8"/>
    <w:rsid w:val="00416038"/>
    <w:rsid w:val="004160BC"/>
    <w:rsid w:val="0041610D"/>
    <w:rsid w:val="0041623E"/>
    <w:rsid w:val="0041629F"/>
    <w:rsid w:val="00416A42"/>
    <w:rsid w:val="00416FFA"/>
    <w:rsid w:val="004170E6"/>
    <w:rsid w:val="0041767D"/>
    <w:rsid w:val="004177FC"/>
    <w:rsid w:val="00417B7B"/>
    <w:rsid w:val="00417CDB"/>
    <w:rsid w:val="004202B2"/>
    <w:rsid w:val="00420632"/>
    <w:rsid w:val="00420826"/>
    <w:rsid w:val="00420C2F"/>
    <w:rsid w:val="004211B2"/>
    <w:rsid w:val="0042151D"/>
    <w:rsid w:val="00421711"/>
    <w:rsid w:val="0042197A"/>
    <w:rsid w:val="00421D07"/>
    <w:rsid w:val="00421F7E"/>
    <w:rsid w:val="00422B58"/>
    <w:rsid w:val="00422D0C"/>
    <w:rsid w:val="004238D6"/>
    <w:rsid w:val="00423EB2"/>
    <w:rsid w:val="0042411A"/>
    <w:rsid w:val="00424408"/>
    <w:rsid w:val="0042444E"/>
    <w:rsid w:val="00424464"/>
    <w:rsid w:val="004249AA"/>
    <w:rsid w:val="00424D75"/>
    <w:rsid w:val="004250C4"/>
    <w:rsid w:val="00426570"/>
    <w:rsid w:val="004266EF"/>
    <w:rsid w:val="00426B30"/>
    <w:rsid w:val="00427353"/>
    <w:rsid w:val="00427383"/>
    <w:rsid w:val="0042752D"/>
    <w:rsid w:val="00427869"/>
    <w:rsid w:val="00427AE9"/>
    <w:rsid w:val="00427E02"/>
    <w:rsid w:val="00427E27"/>
    <w:rsid w:val="00427F67"/>
    <w:rsid w:val="0043025D"/>
    <w:rsid w:val="004302EC"/>
    <w:rsid w:val="004307AD"/>
    <w:rsid w:val="00430ADF"/>
    <w:rsid w:val="00430D65"/>
    <w:rsid w:val="00431A04"/>
    <w:rsid w:val="00431BB2"/>
    <w:rsid w:val="00431CD4"/>
    <w:rsid w:val="00431F23"/>
    <w:rsid w:val="00431FE1"/>
    <w:rsid w:val="0043212A"/>
    <w:rsid w:val="00432517"/>
    <w:rsid w:val="00432919"/>
    <w:rsid w:val="004329D5"/>
    <w:rsid w:val="00432C08"/>
    <w:rsid w:val="00433319"/>
    <w:rsid w:val="00433A44"/>
    <w:rsid w:val="00433BB6"/>
    <w:rsid w:val="00433F3C"/>
    <w:rsid w:val="00433F7C"/>
    <w:rsid w:val="00434386"/>
    <w:rsid w:val="00434475"/>
    <w:rsid w:val="0043468F"/>
    <w:rsid w:val="00434AC1"/>
    <w:rsid w:val="00434E52"/>
    <w:rsid w:val="004352C5"/>
    <w:rsid w:val="004353A0"/>
    <w:rsid w:val="0043540E"/>
    <w:rsid w:val="0043564D"/>
    <w:rsid w:val="0043573F"/>
    <w:rsid w:val="00435EE6"/>
    <w:rsid w:val="0043628A"/>
    <w:rsid w:val="00436D62"/>
    <w:rsid w:val="00437E94"/>
    <w:rsid w:val="00437F44"/>
    <w:rsid w:val="00440130"/>
    <w:rsid w:val="004403BC"/>
    <w:rsid w:val="00440472"/>
    <w:rsid w:val="00440521"/>
    <w:rsid w:val="004405CA"/>
    <w:rsid w:val="00440903"/>
    <w:rsid w:val="00440E22"/>
    <w:rsid w:val="0044172A"/>
    <w:rsid w:val="0044177D"/>
    <w:rsid w:val="00441CB3"/>
    <w:rsid w:val="00441D96"/>
    <w:rsid w:val="00441E40"/>
    <w:rsid w:val="00441F99"/>
    <w:rsid w:val="00442096"/>
    <w:rsid w:val="004420E8"/>
    <w:rsid w:val="00442E56"/>
    <w:rsid w:val="00442FB3"/>
    <w:rsid w:val="00443377"/>
    <w:rsid w:val="004433EC"/>
    <w:rsid w:val="004438AA"/>
    <w:rsid w:val="004439C5"/>
    <w:rsid w:val="004439CD"/>
    <w:rsid w:val="00443BE3"/>
    <w:rsid w:val="00443FE8"/>
    <w:rsid w:val="00444115"/>
    <w:rsid w:val="004441BA"/>
    <w:rsid w:val="0044427D"/>
    <w:rsid w:val="00444554"/>
    <w:rsid w:val="004446FA"/>
    <w:rsid w:val="004447A6"/>
    <w:rsid w:val="00444AB7"/>
    <w:rsid w:val="00444AE6"/>
    <w:rsid w:val="00444CB9"/>
    <w:rsid w:val="00444FBF"/>
    <w:rsid w:val="00445672"/>
    <w:rsid w:val="00445F9D"/>
    <w:rsid w:val="00446013"/>
    <w:rsid w:val="00446657"/>
    <w:rsid w:val="00446685"/>
    <w:rsid w:val="0044683A"/>
    <w:rsid w:val="00446BD8"/>
    <w:rsid w:val="00446E2D"/>
    <w:rsid w:val="004478CF"/>
    <w:rsid w:val="004478D7"/>
    <w:rsid w:val="004478FD"/>
    <w:rsid w:val="00447A45"/>
    <w:rsid w:val="00447A5B"/>
    <w:rsid w:val="00447C15"/>
    <w:rsid w:val="00447C1E"/>
    <w:rsid w:val="00447C2D"/>
    <w:rsid w:val="00447E13"/>
    <w:rsid w:val="00450528"/>
    <w:rsid w:val="00450920"/>
    <w:rsid w:val="00450943"/>
    <w:rsid w:val="00450A48"/>
    <w:rsid w:val="00450FC8"/>
    <w:rsid w:val="00451F9A"/>
    <w:rsid w:val="00452272"/>
    <w:rsid w:val="00452642"/>
    <w:rsid w:val="0045269F"/>
    <w:rsid w:val="0045289B"/>
    <w:rsid w:val="00452E9F"/>
    <w:rsid w:val="004535FF"/>
    <w:rsid w:val="0045379E"/>
    <w:rsid w:val="004546F3"/>
    <w:rsid w:val="00454B75"/>
    <w:rsid w:val="00454CC3"/>
    <w:rsid w:val="004550B5"/>
    <w:rsid w:val="0045515A"/>
    <w:rsid w:val="00455D72"/>
    <w:rsid w:val="00455E51"/>
    <w:rsid w:val="004562D7"/>
    <w:rsid w:val="00456529"/>
    <w:rsid w:val="004568D7"/>
    <w:rsid w:val="004570C3"/>
    <w:rsid w:val="004570D9"/>
    <w:rsid w:val="00457150"/>
    <w:rsid w:val="00457959"/>
    <w:rsid w:val="004579D3"/>
    <w:rsid w:val="00457C68"/>
    <w:rsid w:val="00457C77"/>
    <w:rsid w:val="00457E31"/>
    <w:rsid w:val="00460240"/>
    <w:rsid w:val="004605A1"/>
    <w:rsid w:val="00460EEE"/>
    <w:rsid w:val="00461054"/>
    <w:rsid w:val="004611BA"/>
    <w:rsid w:val="004613D0"/>
    <w:rsid w:val="00461472"/>
    <w:rsid w:val="004615AA"/>
    <w:rsid w:val="00461700"/>
    <w:rsid w:val="00461982"/>
    <w:rsid w:val="004619F1"/>
    <w:rsid w:val="00461A8F"/>
    <w:rsid w:val="00461B21"/>
    <w:rsid w:val="00461FE0"/>
    <w:rsid w:val="004620FE"/>
    <w:rsid w:val="00462522"/>
    <w:rsid w:val="00462757"/>
    <w:rsid w:val="00462B9D"/>
    <w:rsid w:val="00462F32"/>
    <w:rsid w:val="00463402"/>
    <w:rsid w:val="004635A2"/>
    <w:rsid w:val="004638F6"/>
    <w:rsid w:val="00463E65"/>
    <w:rsid w:val="00463E72"/>
    <w:rsid w:val="00464108"/>
    <w:rsid w:val="004646B8"/>
    <w:rsid w:val="00464FF5"/>
    <w:rsid w:val="004654DA"/>
    <w:rsid w:val="00465A1D"/>
    <w:rsid w:val="00465A97"/>
    <w:rsid w:val="00465E22"/>
    <w:rsid w:val="00466357"/>
    <w:rsid w:val="00466625"/>
    <w:rsid w:val="00466786"/>
    <w:rsid w:val="004669B1"/>
    <w:rsid w:val="00466AA4"/>
    <w:rsid w:val="00466BFA"/>
    <w:rsid w:val="00467408"/>
    <w:rsid w:val="004678BC"/>
    <w:rsid w:val="004700B3"/>
    <w:rsid w:val="004708A8"/>
    <w:rsid w:val="00470928"/>
    <w:rsid w:val="00470CCD"/>
    <w:rsid w:val="00470D6E"/>
    <w:rsid w:val="00470F60"/>
    <w:rsid w:val="004711B1"/>
    <w:rsid w:val="004711BF"/>
    <w:rsid w:val="00471291"/>
    <w:rsid w:val="0047136A"/>
    <w:rsid w:val="004717A9"/>
    <w:rsid w:val="00471CDB"/>
    <w:rsid w:val="00472796"/>
    <w:rsid w:val="00472A77"/>
    <w:rsid w:val="00472C08"/>
    <w:rsid w:val="00472D78"/>
    <w:rsid w:val="004737FA"/>
    <w:rsid w:val="004739AE"/>
    <w:rsid w:val="00473A38"/>
    <w:rsid w:val="00473B66"/>
    <w:rsid w:val="00473DC5"/>
    <w:rsid w:val="00473EC7"/>
    <w:rsid w:val="00474031"/>
    <w:rsid w:val="004741B6"/>
    <w:rsid w:val="0047423F"/>
    <w:rsid w:val="0047442E"/>
    <w:rsid w:val="00475B5D"/>
    <w:rsid w:val="00476059"/>
    <w:rsid w:val="004764A2"/>
    <w:rsid w:val="004765FD"/>
    <w:rsid w:val="00477132"/>
    <w:rsid w:val="0047744C"/>
    <w:rsid w:val="00477627"/>
    <w:rsid w:val="00477999"/>
    <w:rsid w:val="00480511"/>
    <w:rsid w:val="00480518"/>
    <w:rsid w:val="00480690"/>
    <w:rsid w:val="0048074E"/>
    <w:rsid w:val="00480E34"/>
    <w:rsid w:val="0048169A"/>
    <w:rsid w:val="00481CFF"/>
    <w:rsid w:val="00482054"/>
    <w:rsid w:val="004821C5"/>
    <w:rsid w:val="004823C2"/>
    <w:rsid w:val="0048242B"/>
    <w:rsid w:val="00482BB1"/>
    <w:rsid w:val="0048322C"/>
    <w:rsid w:val="0048334B"/>
    <w:rsid w:val="004834FB"/>
    <w:rsid w:val="00483D2A"/>
    <w:rsid w:val="00483FF1"/>
    <w:rsid w:val="00484390"/>
    <w:rsid w:val="0048475D"/>
    <w:rsid w:val="004848D4"/>
    <w:rsid w:val="00484ADA"/>
    <w:rsid w:val="00484CBA"/>
    <w:rsid w:val="00484E54"/>
    <w:rsid w:val="004850FE"/>
    <w:rsid w:val="00485188"/>
    <w:rsid w:val="00485707"/>
    <w:rsid w:val="00485943"/>
    <w:rsid w:val="00485E06"/>
    <w:rsid w:val="004860F5"/>
    <w:rsid w:val="00486359"/>
    <w:rsid w:val="004866B5"/>
    <w:rsid w:val="00486838"/>
    <w:rsid w:val="00486961"/>
    <w:rsid w:val="00486A35"/>
    <w:rsid w:val="00487483"/>
    <w:rsid w:val="004875AC"/>
    <w:rsid w:val="004876F4"/>
    <w:rsid w:val="00487DED"/>
    <w:rsid w:val="004902FE"/>
    <w:rsid w:val="0049095C"/>
    <w:rsid w:val="00490A50"/>
    <w:rsid w:val="00490FA0"/>
    <w:rsid w:val="00491023"/>
    <w:rsid w:val="00491119"/>
    <w:rsid w:val="00491437"/>
    <w:rsid w:val="004917DF"/>
    <w:rsid w:val="004918A7"/>
    <w:rsid w:val="00491C59"/>
    <w:rsid w:val="004922D8"/>
    <w:rsid w:val="0049295B"/>
    <w:rsid w:val="00492AF4"/>
    <w:rsid w:val="00492BD2"/>
    <w:rsid w:val="004930FA"/>
    <w:rsid w:val="0049317B"/>
    <w:rsid w:val="0049357F"/>
    <w:rsid w:val="00493D2C"/>
    <w:rsid w:val="00493F7A"/>
    <w:rsid w:val="004941BF"/>
    <w:rsid w:val="00494513"/>
    <w:rsid w:val="004947C7"/>
    <w:rsid w:val="00494E63"/>
    <w:rsid w:val="0049548D"/>
    <w:rsid w:val="0049554A"/>
    <w:rsid w:val="00495EBE"/>
    <w:rsid w:val="0049621E"/>
    <w:rsid w:val="004964AF"/>
    <w:rsid w:val="004972EE"/>
    <w:rsid w:val="004973CD"/>
    <w:rsid w:val="00497496"/>
    <w:rsid w:val="00497873"/>
    <w:rsid w:val="00497910"/>
    <w:rsid w:val="00497939"/>
    <w:rsid w:val="00497C8F"/>
    <w:rsid w:val="00497E10"/>
    <w:rsid w:val="00497F3C"/>
    <w:rsid w:val="00497F83"/>
    <w:rsid w:val="004A0568"/>
    <w:rsid w:val="004A0A9E"/>
    <w:rsid w:val="004A0E0C"/>
    <w:rsid w:val="004A0ED4"/>
    <w:rsid w:val="004A1BEE"/>
    <w:rsid w:val="004A1FE6"/>
    <w:rsid w:val="004A2007"/>
    <w:rsid w:val="004A211B"/>
    <w:rsid w:val="004A2370"/>
    <w:rsid w:val="004A2530"/>
    <w:rsid w:val="004A2F82"/>
    <w:rsid w:val="004A3273"/>
    <w:rsid w:val="004A3795"/>
    <w:rsid w:val="004A3E4F"/>
    <w:rsid w:val="004A3FB6"/>
    <w:rsid w:val="004A4326"/>
    <w:rsid w:val="004A43A9"/>
    <w:rsid w:val="004A4517"/>
    <w:rsid w:val="004A4582"/>
    <w:rsid w:val="004A45DE"/>
    <w:rsid w:val="004A4795"/>
    <w:rsid w:val="004A4B5D"/>
    <w:rsid w:val="004A5163"/>
    <w:rsid w:val="004A5232"/>
    <w:rsid w:val="004A5290"/>
    <w:rsid w:val="004A556B"/>
    <w:rsid w:val="004A5B6E"/>
    <w:rsid w:val="004A5C0B"/>
    <w:rsid w:val="004A5CF5"/>
    <w:rsid w:val="004A5DBE"/>
    <w:rsid w:val="004A67D0"/>
    <w:rsid w:val="004A6985"/>
    <w:rsid w:val="004A6EE8"/>
    <w:rsid w:val="004A7259"/>
    <w:rsid w:val="004A7641"/>
    <w:rsid w:val="004A7B2E"/>
    <w:rsid w:val="004B0057"/>
    <w:rsid w:val="004B0172"/>
    <w:rsid w:val="004B01D7"/>
    <w:rsid w:val="004B02F4"/>
    <w:rsid w:val="004B0D09"/>
    <w:rsid w:val="004B0E35"/>
    <w:rsid w:val="004B1CA8"/>
    <w:rsid w:val="004B1D50"/>
    <w:rsid w:val="004B23E3"/>
    <w:rsid w:val="004B2582"/>
    <w:rsid w:val="004B2C9B"/>
    <w:rsid w:val="004B2F67"/>
    <w:rsid w:val="004B3274"/>
    <w:rsid w:val="004B37F9"/>
    <w:rsid w:val="004B3B85"/>
    <w:rsid w:val="004B3DF3"/>
    <w:rsid w:val="004B3EDC"/>
    <w:rsid w:val="004B401F"/>
    <w:rsid w:val="004B48B0"/>
    <w:rsid w:val="004B4AF9"/>
    <w:rsid w:val="004B4B7A"/>
    <w:rsid w:val="004B50D9"/>
    <w:rsid w:val="004B5256"/>
    <w:rsid w:val="004B536E"/>
    <w:rsid w:val="004B541F"/>
    <w:rsid w:val="004B577A"/>
    <w:rsid w:val="004B5CE9"/>
    <w:rsid w:val="004B5D0D"/>
    <w:rsid w:val="004B613D"/>
    <w:rsid w:val="004B65CC"/>
    <w:rsid w:val="004B6A34"/>
    <w:rsid w:val="004B6C9B"/>
    <w:rsid w:val="004B6FAF"/>
    <w:rsid w:val="004B7510"/>
    <w:rsid w:val="004B78C7"/>
    <w:rsid w:val="004B7DAE"/>
    <w:rsid w:val="004C01E9"/>
    <w:rsid w:val="004C02E4"/>
    <w:rsid w:val="004C0379"/>
    <w:rsid w:val="004C038C"/>
    <w:rsid w:val="004C07FA"/>
    <w:rsid w:val="004C0A8E"/>
    <w:rsid w:val="004C134B"/>
    <w:rsid w:val="004C1DAA"/>
    <w:rsid w:val="004C297A"/>
    <w:rsid w:val="004C2BE5"/>
    <w:rsid w:val="004C30BF"/>
    <w:rsid w:val="004C3ABD"/>
    <w:rsid w:val="004C3BDA"/>
    <w:rsid w:val="004C3D14"/>
    <w:rsid w:val="004C4949"/>
    <w:rsid w:val="004C4DD5"/>
    <w:rsid w:val="004C5288"/>
    <w:rsid w:val="004C531F"/>
    <w:rsid w:val="004C53C0"/>
    <w:rsid w:val="004C5401"/>
    <w:rsid w:val="004C5BC1"/>
    <w:rsid w:val="004C5D63"/>
    <w:rsid w:val="004C611A"/>
    <w:rsid w:val="004C69AB"/>
    <w:rsid w:val="004C6B1F"/>
    <w:rsid w:val="004C6B6D"/>
    <w:rsid w:val="004C6DBF"/>
    <w:rsid w:val="004C6E82"/>
    <w:rsid w:val="004C7044"/>
    <w:rsid w:val="004C71E7"/>
    <w:rsid w:val="004C7D57"/>
    <w:rsid w:val="004C7F70"/>
    <w:rsid w:val="004D0007"/>
    <w:rsid w:val="004D03C8"/>
    <w:rsid w:val="004D0705"/>
    <w:rsid w:val="004D0B9B"/>
    <w:rsid w:val="004D0DB0"/>
    <w:rsid w:val="004D1280"/>
    <w:rsid w:val="004D136C"/>
    <w:rsid w:val="004D15AD"/>
    <w:rsid w:val="004D1F75"/>
    <w:rsid w:val="004D22CD"/>
    <w:rsid w:val="004D28FC"/>
    <w:rsid w:val="004D2D1E"/>
    <w:rsid w:val="004D33ED"/>
    <w:rsid w:val="004D3897"/>
    <w:rsid w:val="004D3B5D"/>
    <w:rsid w:val="004D3BB4"/>
    <w:rsid w:val="004D3C21"/>
    <w:rsid w:val="004D41F9"/>
    <w:rsid w:val="004D4418"/>
    <w:rsid w:val="004D4422"/>
    <w:rsid w:val="004D4557"/>
    <w:rsid w:val="004D4577"/>
    <w:rsid w:val="004D45A0"/>
    <w:rsid w:val="004D4623"/>
    <w:rsid w:val="004D4CAF"/>
    <w:rsid w:val="004D4F76"/>
    <w:rsid w:val="004D5162"/>
    <w:rsid w:val="004D5E37"/>
    <w:rsid w:val="004D5E5F"/>
    <w:rsid w:val="004D6026"/>
    <w:rsid w:val="004D629E"/>
    <w:rsid w:val="004D63B4"/>
    <w:rsid w:val="004D6918"/>
    <w:rsid w:val="004D6986"/>
    <w:rsid w:val="004D6D27"/>
    <w:rsid w:val="004D6FFC"/>
    <w:rsid w:val="004D70BA"/>
    <w:rsid w:val="004D7133"/>
    <w:rsid w:val="004D74C0"/>
    <w:rsid w:val="004E0032"/>
    <w:rsid w:val="004E0205"/>
    <w:rsid w:val="004E066B"/>
    <w:rsid w:val="004E09BB"/>
    <w:rsid w:val="004E1637"/>
    <w:rsid w:val="004E187B"/>
    <w:rsid w:val="004E1F22"/>
    <w:rsid w:val="004E1FA2"/>
    <w:rsid w:val="004E2114"/>
    <w:rsid w:val="004E286E"/>
    <w:rsid w:val="004E28A2"/>
    <w:rsid w:val="004E3694"/>
    <w:rsid w:val="004E36B3"/>
    <w:rsid w:val="004E378A"/>
    <w:rsid w:val="004E3C36"/>
    <w:rsid w:val="004E3CF6"/>
    <w:rsid w:val="004E3DC7"/>
    <w:rsid w:val="004E442F"/>
    <w:rsid w:val="004E4A8B"/>
    <w:rsid w:val="004E4E06"/>
    <w:rsid w:val="004E52DC"/>
    <w:rsid w:val="004E5DA9"/>
    <w:rsid w:val="004E6747"/>
    <w:rsid w:val="004E69F6"/>
    <w:rsid w:val="004E6AF4"/>
    <w:rsid w:val="004E6AF7"/>
    <w:rsid w:val="004E70C9"/>
    <w:rsid w:val="004E71F1"/>
    <w:rsid w:val="004E7483"/>
    <w:rsid w:val="004E764B"/>
    <w:rsid w:val="004E79A4"/>
    <w:rsid w:val="004E7A99"/>
    <w:rsid w:val="004F0429"/>
    <w:rsid w:val="004F0888"/>
    <w:rsid w:val="004F0F30"/>
    <w:rsid w:val="004F139D"/>
    <w:rsid w:val="004F1589"/>
    <w:rsid w:val="004F1948"/>
    <w:rsid w:val="004F1BB1"/>
    <w:rsid w:val="004F2383"/>
    <w:rsid w:val="004F2569"/>
    <w:rsid w:val="004F294B"/>
    <w:rsid w:val="004F2A3C"/>
    <w:rsid w:val="004F2A41"/>
    <w:rsid w:val="004F3012"/>
    <w:rsid w:val="004F368C"/>
    <w:rsid w:val="004F3751"/>
    <w:rsid w:val="004F3A16"/>
    <w:rsid w:val="004F3A89"/>
    <w:rsid w:val="004F3BD0"/>
    <w:rsid w:val="004F3D6F"/>
    <w:rsid w:val="004F3FB6"/>
    <w:rsid w:val="004F4496"/>
    <w:rsid w:val="004F486F"/>
    <w:rsid w:val="004F52A1"/>
    <w:rsid w:val="004F5977"/>
    <w:rsid w:val="004F5A8D"/>
    <w:rsid w:val="004F5C4B"/>
    <w:rsid w:val="004F5FC6"/>
    <w:rsid w:val="004F6141"/>
    <w:rsid w:val="004F617A"/>
    <w:rsid w:val="004F6277"/>
    <w:rsid w:val="004F64E3"/>
    <w:rsid w:val="004F6894"/>
    <w:rsid w:val="004F6A97"/>
    <w:rsid w:val="004F6CC1"/>
    <w:rsid w:val="004F6D86"/>
    <w:rsid w:val="004F6D95"/>
    <w:rsid w:val="004F74D0"/>
    <w:rsid w:val="004F750A"/>
    <w:rsid w:val="004F755F"/>
    <w:rsid w:val="004F75DB"/>
    <w:rsid w:val="004F7676"/>
    <w:rsid w:val="004F7B2D"/>
    <w:rsid w:val="004F7E30"/>
    <w:rsid w:val="004F7EE7"/>
    <w:rsid w:val="00500122"/>
    <w:rsid w:val="00500152"/>
    <w:rsid w:val="005003BE"/>
    <w:rsid w:val="005003CB"/>
    <w:rsid w:val="0050063A"/>
    <w:rsid w:val="005007B2"/>
    <w:rsid w:val="005008EA"/>
    <w:rsid w:val="00500ADA"/>
    <w:rsid w:val="00500F42"/>
    <w:rsid w:val="00500FBB"/>
    <w:rsid w:val="00501098"/>
    <w:rsid w:val="005010BD"/>
    <w:rsid w:val="00501250"/>
    <w:rsid w:val="0050153D"/>
    <w:rsid w:val="00501593"/>
    <w:rsid w:val="00501980"/>
    <w:rsid w:val="005019C5"/>
    <w:rsid w:val="005021C4"/>
    <w:rsid w:val="00502472"/>
    <w:rsid w:val="005024D9"/>
    <w:rsid w:val="00502795"/>
    <w:rsid w:val="0050328B"/>
    <w:rsid w:val="005035AF"/>
    <w:rsid w:val="00503BD6"/>
    <w:rsid w:val="00504083"/>
    <w:rsid w:val="0050455B"/>
    <w:rsid w:val="0050499F"/>
    <w:rsid w:val="00504A80"/>
    <w:rsid w:val="00504E5E"/>
    <w:rsid w:val="00505890"/>
    <w:rsid w:val="00505905"/>
    <w:rsid w:val="00505EFF"/>
    <w:rsid w:val="005061AB"/>
    <w:rsid w:val="005062D1"/>
    <w:rsid w:val="00506380"/>
    <w:rsid w:val="00506388"/>
    <w:rsid w:val="005067AF"/>
    <w:rsid w:val="00506A49"/>
    <w:rsid w:val="00506AA3"/>
    <w:rsid w:val="00506C7D"/>
    <w:rsid w:val="00506D73"/>
    <w:rsid w:val="00507003"/>
    <w:rsid w:val="005073DE"/>
    <w:rsid w:val="0050786A"/>
    <w:rsid w:val="00507A18"/>
    <w:rsid w:val="00507F35"/>
    <w:rsid w:val="005101C8"/>
    <w:rsid w:val="005103C6"/>
    <w:rsid w:val="0051056D"/>
    <w:rsid w:val="00510A0B"/>
    <w:rsid w:val="00510B90"/>
    <w:rsid w:val="00510CAC"/>
    <w:rsid w:val="00510DB4"/>
    <w:rsid w:val="00510EF4"/>
    <w:rsid w:val="0051144E"/>
    <w:rsid w:val="00511500"/>
    <w:rsid w:val="005115AD"/>
    <w:rsid w:val="0051169F"/>
    <w:rsid w:val="00511842"/>
    <w:rsid w:val="00511932"/>
    <w:rsid w:val="0051199D"/>
    <w:rsid w:val="00511C76"/>
    <w:rsid w:val="00511F36"/>
    <w:rsid w:val="00512737"/>
    <w:rsid w:val="0051277D"/>
    <w:rsid w:val="00513035"/>
    <w:rsid w:val="0051333A"/>
    <w:rsid w:val="00513715"/>
    <w:rsid w:val="0051372F"/>
    <w:rsid w:val="00513A61"/>
    <w:rsid w:val="00513A86"/>
    <w:rsid w:val="00513BD8"/>
    <w:rsid w:val="00513E19"/>
    <w:rsid w:val="00513EA6"/>
    <w:rsid w:val="005144D4"/>
    <w:rsid w:val="00514B04"/>
    <w:rsid w:val="00514CD0"/>
    <w:rsid w:val="00514DE7"/>
    <w:rsid w:val="00514F01"/>
    <w:rsid w:val="00515013"/>
    <w:rsid w:val="00515051"/>
    <w:rsid w:val="00515296"/>
    <w:rsid w:val="00515D18"/>
    <w:rsid w:val="00516C39"/>
    <w:rsid w:val="00516CAA"/>
    <w:rsid w:val="00516F09"/>
    <w:rsid w:val="00517070"/>
    <w:rsid w:val="00517489"/>
    <w:rsid w:val="0051797C"/>
    <w:rsid w:val="00517D38"/>
    <w:rsid w:val="00517E1A"/>
    <w:rsid w:val="0052037B"/>
    <w:rsid w:val="00520742"/>
    <w:rsid w:val="005207BC"/>
    <w:rsid w:val="00520D9C"/>
    <w:rsid w:val="00520EFC"/>
    <w:rsid w:val="00521108"/>
    <w:rsid w:val="005214E6"/>
    <w:rsid w:val="0052151B"/>
    <w:rsid w:val="00521896"/>
    <w:rsid w:val="005218BB"/>
    <w:rsid w:val="00521AC7"/>
    <w:rsid w:val="00521C2E"/>
    <w:rsid w:val="00521E17"/>
    <w:rsid w:val="00521E77"/>
    <w:rsid w:val="0052291E"/>
    <w:rsid w:val="00522A4E"/>
    <w:rsid w:val="00522E6D"/>
    <w:rsid w:val="0052321D"/>
    <w:rsid w:val="00523359"/>
    <w:rsid w:val="005239FB"/>
    <w:rsid w:val="00523A81"/>
    <w:rsid w:val="00523BB0"/>
    <w:rsid w:val="00523C70"/>
    <w:rsid w:val="00524023"/>
    <w:rsid w:val="00524291"/>
    <w:rsid w:val="00524448"/>
    <w:rsid w:val="0052483C"/>
    <w:rsid w:val="00524862"/>
    <w:rsid w:val="005248FB"/>
    <w:rsid w:val="00524D82"/>
    <w:rsid w:val="005252E2"/>
    <w:rsid w:val="005254C7"/>
    <w:rsid w:val="00525854"/>
    <w:rsid w:val="00525874"/>
    <w:rsid w:val="005259DB"/>
    <w:rsid w:val="00525EFA"/>
    <w:rsid w:val="00526529"/>
    <w:rsid w:val="005267E8"/>
    <w:rsid w:val="0052756B"/>
    <w:rsid w:val="00527CC3"/>
    <w:rsid w:val="00527CC7"/>
    <w:rsid w:val="00527EA9"/>
    <w:rsid w:val="00527EBF"/>
    <w:rsid w:val="00527F64"/>
    <w:rsid w:val="00530250"/>
    <w:rsid w:val="005302CF"/>
    <w:rsid w:val="00530530"/>
    <w:rsid w:val="00530916"/>
    <w:rsid w:val="00530D48"/>
    <w:rsid w:val="00531735"/>
    <w:rsid w:val="0053174A"/>
    <w:rsid w:val="00531763"/>
    <w:rsid w:val="0053176F"/>
    <w:rsid w:val="00531C1A"/>
    <w:rsid w:val="00531F22"/>
    <w:rsid w:val="00532103"/>
    <w:rsid w:val="0053262C"/>
    <w:rsid w:val="00532CEC"/>
    <w:rsid w:val="005331C9"/>
    <w:rsid w:val="00533309"/>
    <w:rsid w:val="0053339B"/>
    <w:rsid w:val="00533907"/>
    <w:rsid w:val="00533BD9"/>
    <w:rsid w:val="00534443"/>
    <w:rsid w:val="00534464"/>
    <w:rsid w:val="00534525"/>
    <w:rsid w:val="00534620"/>
    <w:rsid w:val="00534FE1"/>
    <w:rsid w:val="00534FFD"/>
    <w:rsid w:val="005353A3"/>
    <w:rsid w:val="005353CC"/>
    <w:rsid w:val="00535737"/>
    <w:rsid w:val="005357A5"/>
    <w:rsid w:val="005359DA"/>
    <w:rsid w:val="00535B1C"/>
    <w:rsid w:val="00535BAC"/>
    <w:rsid w:val="00535C53"/>
    <w:rsid w:val="00535E85"/>
    <w:rsid w:val="00535FE9"/>
    <w:rsid w:val="005365CF"/>
    <w:rsid w:val="00537AE8"/>
    <w:rsid w:val="00537D41"/>
    <w:rsid w:val="00537E9B"/>
    <w:rsid w:val="005400C1"/>
    <w:rsid w:val="0054040B"/>
    <w:rsid w:val="0054043D"/>
    <w:rsid w:val="005405B5"/>
    <w:rsid w:val="00540A01"/>
    <w:rsid w:val="00540E04"/>
    <w:rsid w:val="00540E6E"/>
    <w:rsid w:val="005416E2"/>
    <w:rsid w:val="00541716"/>
    <w:rsid w:val="0054172B"/>
    <w:rsid w:val="00541827"/>
    <w:rsid w:val="00541896"/>
    <w:rsid w:val="00541BD0"/>
    <w:rsid w:val="00542012"/>
    <w:rsid w:val="005421AB"/>
    <w:rsid w:val="00542493"/>
    <w:rsid w:val="00542972"/>
    <w:rsid w:val="005429DF"/>
    <w:rsid w:val="00542CBC"/>
    <w:rsid w:val="00542E92"/>
    <w:rsid w:val="00542F98"/>
    <w:rsid w:val="0054330C"/>
    <w:rsid w:val="005439A3"/>
    <w:rsid w:val="00543A1B"/>
    <w:rsid w:val="005440FB"/>
    <w:rsid w:val="005442CC"/>
    <w:rsid w:val="00544645"/>
    <w:rsid w:val="00544D96"/>
    <w:rsid w:val="0054536E"/>
    <w:rsid w:val="005456A4"/>
    <w:rsid w:val="005456E3"/>
    <w:rsid w:val="00545754"/>
    <w:rsid w:val="0054618E"/>
    <w:rsid w:val="0054621E"/>
    <w:rsid w:val="005464D2"/>
    <w:rsid w:val="00546CF6"/>
    <w:rsid w:val="00546F17"/>
    <w:rsid w:val="00546FD0"/>
    <w:rsid w:val="005472FB"/>
    <w:rsid w:val="00547492"/>
    <w:rsid w:val="005474DD"/>
    <w:rsid w:val="005476A8"/>
    <w:rsid w:val="00547D3A"/>
    <w:rsid w:val="00547DF9"/>
    <w:rsid w:val="0055043E"/>
    <w:rsid w:val="005508CC"/>
    <w:rsid w:val="00550DC5"/>
    <w:rsid w:val="00550ECE"/>
    <w:rsid w:val="00550F88"/>
    <w:rsid w:val="005511CB"/>
    <w:rsid w:val="00551D84"/>
    <w:rsid w:val="00551E32"/>
    <w:rsid w:val="0055219D"/>
    <w:rsid w:val="005521B1"/>
    <w:rsid w:val="0055237B"/>
    <w:rsid w:val="005527AE"/>
    <w:rsid w:val="00552AF3"/>
    <w:rsid w:val="0055316F"/>
    <w:rsid w:val="0055322A"/>
    <w:rsid w:val="0055322C"/>
    <w:rsid w:val="0055353F"/>
    <w:rsid w:val="00554041"/>
    <w:rsid w:val="005541CD"/>
    <w:rsid w:val="0055483A"/>
    <w:rsid w:val="00554AC0"/>
    <w:rsid w:val="00554E0F"/>
    <w:rsid w:val="00555148"/>
    <w:rsid w:val="0055577A"/>
    <w:rsid w:val="00555C0C"/>
    <w:rsid w:val="00555F30"/>
    <w:rsid w:val="0055637F"/>
    <w:rsid w:val="0055639C"/>
    <w:rsid w:val="0055652A"/>
    <w:rsid w:val="00556617"/>
    <w:rsid w:val="005569BA"/>
    <w:rsid w:val="00556AC6"/>
    <w:rsid w:val="005570CC"/>
    <w:rsid w:val="00557108"/>
    <w:rsid w:val="00557166"/>
    <w:rsid w:val="00557481"/>
    <w:rsid w:val="0055761E"/>
    <w:rsid w:val="00557CE7"/>
    <w:rsid w:val="00557ED7"/>
    <w:rsid w:val="0056057A"/>
    <w:rsid w:val="005606A0"/>
    <w:rsid w:val="005607D7"/>
    <w:rsid w:val="00560BAA"/>
    <w:rsid w:val="00560DAE"/>
    <w:rsid w:val="0056107E"/>
    <w:rsid w:val="00561454"/>
    <w:rsid w:val="00561AC2"/>
    <w:rsid w:val="00561B54"/>
    <w:rsid w:val="00561D74"/>
    <w:rsid w:val="00561E76"/>
    <w:rsid w:val="00561EAE"/>
    <w:rsid w:val="00561ED2"/>
    <w:rsid w:val="005621DE"/>
    <w:rsid w:val="00562433"/>
    <w:rsid w:val="00562570"/>
    <w:rsid w:val="00562777"/>
    <w:rsid w:val="00562CDD"/>
    <w:rsid w:val="0056350A"/>
    <w:rsid w:val="005636AA"/>
    <w:rsid w:val="00563A28"/>
    <w:rsid w:val="00563D28"/>
    <w:rsid w:val="00564316"/>
    <w:rsid w:val="00564427"/>
    <w:rsid w:val="00564693"/>
    <w:rsid w:val="005646B1"/>
    <w:rsid w:val="0056472B"/>
    <w:rsid w:val="00564E38"/>
    <w:rsid w:val="00565012"/>
    <w:rsid w:val="00565059"/>
    <w:rsid w:val="0056536C"/>
    <w:rsid w:val="00565ECF"/>
    <w:rsid w:val="0056633F"/>
    <w:rsid w:val="005667AA"/>
    <w:rsid w:val="00566BAF"/>
    <w:rsid w:val="0056710F"/>
    <w:rsid w:val="0056713B"/>
    <w:rsid w:val="005671E4"/>
    <w:rsid w:val="005675D7"/>
    <w:rsid w:val="0056783F"/>
    <w:rsid w:val="00567B5B"/>
    <w:rsid w:val="00567EC5"/>
    <w:rsid w:val="00567EF3"/>
    <w:rsid w:val="005703D1"/>
    <w:rsid w:val="005704AB"/>
    <w:rsid w:val="00570715"/>
    <w:rsid w:val="005709B2"/>
    <w:rsid w:val="00570C93"/>
    <w:rsid w:val="00570DDE"/>
    <w:rsid w:val="00570EB1"/>
    <w:rsid w:val="00570F28"/>
    <w:rsid w:val="00571302"/>
    <w:rsid w:val="005713B7"/>
    <w:rsid w:val="005713E5"/>
    <w:rsid w:val="00571A43"/>
    <w:rsid w:val="00571B04"/>
    <w:rsid w:val="00571B30"/>
    <w:rsid w:val="00571CD5"/>
    <w:rsid w:val="00571E8A"/>
    <w:rsid w:val="0057200E"/>
    <w:rsid w:val="005721FF"/>
    <w:rsid w:val="005727AB"/>
    <w:rsid w:val="00573588"/>
    <w:rsid w:val="00573661"/>
    <w:rsid w:val="005743F4"/>
    <w:rsid w:val="00574401"/>
    <w:rsid w:val="00574516"/>
    <w:rsid w:val="00574797"/>
    <w:rsid w:val="005747FB"/>
    <w:rsid w:val="0057486E"/>
    <w:rsid w:val="005750BD"/>
    <w:rsid w:val="00575361"/>
    <w:rsid w:val="005756FC"/>
    <w:rsid w:val="00575B58"/>
    <w:rsid w:val="00575DCC"/>
    <w:rsid w:val="00575DD8"/>
    <w:rsid w:val="00575E60"/>
    <w:rsid w:val="00575F27"/>
    <w:rsid w:val="00576080"/>
    <w:rsid w:val="0057667D"/>
    <w:rsid w:val="00576B29"/>
    <w:rsid w:val="005771BD"/>
    <w:rsid w:val="005774E9"/>
    <w:rsid w:val="005775B1"/>
    <w:rsid w:val="005775DF"/>
    <w:rsid w:val="00577798"/>
    <w:rsid w:val="00577A1E"/>
    <w:rsid w:val="00577D61"/>
    <w:rsid w:val="00577FBF"/>
    <w:rsid w:val="00580B89"/>
    <w:rsid w:val="00580CAE"/>
    <w:rsid w:val="00581003"/>
    <w:rsid w:val="00581B48"/>
    <w:rsid w:val="00581E69"/>
    <w:rsid w:val="005820DC"/>
    <w:rsid w:val="00582A34"/>
    <w:rsid w:val="00582B19"/>
    <w:rsid w:val="00582BC2"/>
    <w:rsid w:val="00583133"/>
    <w:rsid w:val="005831E0"/>
    <w:rsid w:val="00583219"/>
    <w:rsid w:val="0058332C"/>
    <w:rsid w:val="005834DD"/>
    <w:rsid w:val="0058363A"/>
    <w:rsid w:val="00584017"/>
    <w:rsid w:val="00584681"/>
    <w:rsid w:val="005848BC"/>
    <w:rsid w:val="00585110"/>
    <w:rsid w:val="00585341"/>
    <w:rsid w:val="00585C41"/>
    <w:rsid w:val="0058618D"/>
    <w:rsid w:val="00586999"/>
    <w:rsid w:val="00586A15"/>
    <w:rsid w:val="00586A90"/>
    <w:rsid w:val="00586B0C"/>
    <w:rsid w:val="00586DF2"/>
    <w:rsid w:val="00586DF6"/>
    <w:rsid w:val="00586E0D"/>
    <w:rsid w:val="0058724E"/>
    <w:rsid w:val="0058728B"/>
    <w:rsid w:val="0058732B"/>
    <w:rsid w:val="005875DE"/>
    <w:rsid w:val="00587848"/>
    <w:rsid w:val="00587953"/>
    <w:rsid w:val="00587D31"/>
    <w:rsid w:val="0059012E"/>
    <w:rsid w:val="005903AB"/>
    <w:rsid w:val="005903FD"/>
    <w:rsid w:val="00590A64"/>
    <w:rsid w:val="00590BFF"/>
    <w:rsid w:val="00590E35"/>
    <w:rsid w:val="00590F19"/>
    <w:rsid w:val="005911D2"/>
    <w:rsid w:val="005916F3"/>
    <w:rsid w:val="0059199C"/>
    <w:rsid w:val="0059236C"/>
    <w:rsid w:val="00592408"/>
    <w:rsid w:val="0059241E"/>
    <w:rsid w:val="005935D5"/>
    <w:rsid w:val="00593819"/>
    <w:rsid w:val="00593C1E"/>
    <w:rsid w:val="00593DA0"/>
    <w:rsid w:val="00593F51"/>
    <w:rsid w:val="005944EA"/>
    <w:rsid w:val="005946E0"/>
    <w:rsid w:val="005946FA"/>
    <w:rsid w:val="005947EF"/>
    <w:rsid w:val="00594AB9"/>
    <w:rsid w:val="00594CB1"/>
    <w:rsid w:val="0059529C"/>
    <w:rsid w:val="00595516"/>
    <w:rsid w:val="0059556C"/>
    <w:rsid w:val="00595A26"/>
    <w:rsid w:val="00595CFE"/>
    <w:rsid w:val="00595F94"/>
    <w:rsid w:val="005960E1"/>
    <w:rsid w:val="005962F9"/>
    <w:rsid w:val="00596548"/>
    <w:rsid w:val="0059695E"/>
    <w:rsid w:val="00596EA1"/>
    <w:rsid w:val="005975FB"/>
    <w:rsid w:val="005A0106"/>
    <w:rsid w:val="005A0635"/>
    <w:rsid w:val="005A08D6"/>
    <w:rsid w:val="005A0AB1"/>
    <w:rsid w:val="005A1102"/>
    <w:rsid w:val="005A1435"/>
    <w:rsid w:val="005A1486"/>
    <w:rsid w:val="005A18F7"/>
    <w:rsid w:val="005A207D"/>
    <w:rsid w:val="005A2205"/>
    <w:rsid w:val="005A2316"/>
    <w:rsid w:val="005A2358"/>
    <w:rsid w:val="005A2874"/>
    <w:rsid w:val="005A2C01"/>
    <w:rsid w:val="005A2D87"/>
    <w:rsid w:val="005A2E2B"/>
    <w:rsid w:val="005A3329"/>
    <w:rsid w:val="005A3362"/>
    <w:rsid w:val="005A358A"/>
    <w:rsid w:val="005A35EB"/>
    <w:rsid w:val="005A3A0C"/>
    <w:rsid w:val="005A3DC1"/>
    <w:rsid w:val="005A435A"/>
    <w:rsid w:val="005A4BCD"/>
    <w:rsid w:val="005A4CF9"/>
    <w:rsid w:val="005A4D15"/>
    <w:rsid w:val="005A52D3"/>
    <w:rsid w:val="005A57D8"/>
    <w:rsid w:val="005A5D2E"/>
    <w:rsid w:val="005A5DB2"/>
    <w:rsid w:val="005A5F49"/>
    <w:rsid w:val="005A69F2"/>
    <w:rsid w:val="005A6F34"/>
    <w:rsid w:val="005A6F88"/>
    <w:rsid w:val="005A705F"/>
    <w:rsid w:val="005A7696"/>
    <w:rsid w:val="005A77C5"/>
    <w:rsid w:val="005A7958"/>
    <w:rsid w:val="005A7BA0"/>
    <w:rsid w:val="005A7BF7"/>
    <w:rsid w:val="005B027A"/>
    <w:rsid w:val="005B07FE"/>
    <w:rsid w:val="005B0B34"/>
    <w:rsid w:val="005B0C40"/>
    <w:rsid w:val="005B178A"/>
    <w:rsid w:val="005B1AFC"/>
    <w:rsid w:val="005B1CAF"/>
    <w:rsid w:val="005B1D92"/>
    <w:rsid w:val="005B24AE"/>
    <w:rsid w:val="005B281C"/>
    <w:rsid w:val="005B2AD2"/>
    <w:rsid w:val="005B3106"/>
    <w:rsid w:val="005B3446"/>
    <w:rsid w:val="005B3A45"/>
    <w:rsid w:val="005B3EA0"/>
    <w:rsid w:val="005B3F93"/>
    <w:rsid w:val="005B41C8"/>
    <w:rsid w:val="005B484E"/>
    <w:rsid w:val="005B4CCA"/>
    <w:rsid w:val="005B5AC4"/>
    <w:rsid w:val="005B5E8E"/>
    <w:rsid w:val="005B601C"/>
    <w:rsid w:val="005B6213"/>
    <w:rsid w:val="005B6580"/>
    <w:rsid w:val="005B6D94"/>
    <w:rsid w:val="005B714B"/>
    <w:rsid w:val="005B72B8"/>
    <w:rsid w:val="005B73B5"/>
    <w:rsid w:val="005B761A"/>
    <w:rsid w:val="005B7DFB"/>
    <w:rsid w:val="005B7EBF"/>
    <w:rsid w:val="005C0005"/>
    <w:rsid w:val="005C0008"/>
    <w:rsid w:val="005C0666"/>
    <w:rsid w:val="005C0892"/>
    <w:rsid w:val="005C131E"/>
    <w:rsid w:val="005C1F81"/>
    <w:rsid w:val="005C2517"/>
    <w:rsid w:val="005C25A1"/>
    <w:rsid w:val="005C27E1"/>
    <w:rsid w:val="005C2E20"/>
    <w:rsid w:val="005C3140"/>
    <w:rsid w:val="005C35E2"/>
    <w:rsid w:val="005C3837"/>
    <w:rsid w:val="005C3B5E"/>
    <w:rsid w:val="005C40AD"/>
    <w:rsid w:val="005C42D8"/>
    <w:rsid w:val="005C4477"/>
    <w:rsid w:val="005C4B44"/>
    <w:rsid w:val="005C4F35"/>
    <w:rsid w:val="005C5651"/>
    <w:rsid w:val="005C601B"/>
    <w:rsid w:val="005C6039"/>
    <w:rsid w:val="005C62AA"/>
    <w:rsid w:val="005C6652"/>
    <w:rsid w:val="005C6BA0"/>
    <w:rsid w:val="005C6CB1"/>
    <w:rsid w:val="005C740E"/>
    <w:rsid w:val="005C7563"/>
    <w:rsid w:val="005C787B"/>
    <w:rsid w:val="005C7AE4"/>
    <w:rsid w:val="005D065F"/>
    <w:rsid w:val="005D0A08"/>
    <w:rsid w:val="005D105F"/>
    <w:rsid w:val="005D1169"/>
    <w:rsid w:val="005D1299"/>
    <w:rsid w:val="005D1604"/>
    <w:rsid w:val="005D1670"/>
    <w:rsid w:val="005D16BA"/>
    <w:rsid w:val="005D1863"/>
    <w:rsid w:val="005D1938"/>
    <w:rsid w:val="005D1A6E"/>
    <w:rsid w:val="005D1F37"/>
    <w:rsid w:val="005D295A"/>
    <w:rsid w:val="005D2B18"/>
    <w:rsid w:val="005D2B92"/>
    <w:rsid w:val="005D3ADB"/>
    <w:rsid w:val="005D3E83"/>
    <w:rsid w:val="005D4934"/>
    <w:rsid w:val="005D4E7A"/>
    <w:rsid w:val="005D5053"/>
    <w:rsid w:val="005D51FC"/>
    <w:rsid w:val="005D5437"/>
    <w:rsid w:val="005D564E"/>
    <w:rsid w:val="005D5918"/>
    <w:rsid w:val="005D5CF9"/>
    <w:rsid w:val="005D5FCB"/>
    <w:rsid w:val="005D6191"/>
    <w:rsid w:val="005D620B"/>
    <w:rsid w:val="005D626D"/>
    <w:rsid w:val="005D66DB"/>
    <w:rsid w:val="005D685A"/>
    <w:rsid w:val="005D6908"/>
    <w:rsid w:val="005D69CC"/>
    <w:rsid w:val="005D6C7C"/>
    <w:rsid w:val="005D6F65"/>
    <w:rsid w:val="005D7248"/>
    <w:rsid w:val="005D76A1"/>
    <w:rsid w:val="005D788D"/>
    <w:rsid w:val="005D798A"/>
    <w:rsid w:val="005D7C40"/>
    <w:rsid w:val="005D7D49"/>
    <w:rsid w:val="005E0308"/>
    <w:rsid w:val="005E0561"/>
    <w:rsid w:val="005E0770"/>
    <w:rsid w:val="005E0D2D"/>
    <w:rsid w:val="005E111D"/>
    <w:rsid w:val="005E1274"/>
    <w:rsid w:val="005E16C7"/>
    <w:rsid w:val="005E1722"/>
    <w:rsid w:val="005E188D"/>
    <w:rsid w:val="005E18AD"/>
    <w:rsid w:val="005E1B18"/>
    <w:rsid w:val="005E259B"/>
    <w:rsid w:val="005E25E6"/>
    <w:rsid w:val="005E27D4"/>
    <w:rsid w:val="005E2951"/>
    <w:rsid w:val="005E29A3"/>
    <w:rsid w:val="005E29D0"/>
    <w:rsid w:val="005E33D6"/>
    <w:rsid w:val="005E366F"/>
    <w:rsid w:val="005E3778"/>
    <w:rsid w:val="005E3783"/>
    <w:rsid w:val="005E37F6"/>
    <w:rsid w:val="005E39B1"/>
    <w:rsid w:val="005E3A14"/>
    <w:rsid w:val="005E3E17"/>
    <w:rsid w:val="005E41B2"/>
    <w:rsid w:val="005E4956"/>
    <w:rsid w:val="005E4B55"/>
    <w:rsid w:val="005E4C14"/>
    <w:rsid w:val="005E52D2"/>
    <w:rsid w:val="005E55EF"/>
    <w:rsid w:val="005E584C"/>
    <w:rsid w:val="005E5B47"/>
    <w:rsid w:val="005E5D19"/>
    <w:rsid w:val="005E6159"/>
    <w:rsid w:val="005E67C7"/>
    <w:rsid w:val="005E687E"/>
    <w:rsid w:val="005E77EE"/>
    <w:rsid w:val="005E78F2"/>
    <w:rsid w:val="005E7A9E"/>
    <w:rsid w:val="005E7D86"/>
    <w:rsid w:val="005F02AD"/>
    <w:rsid w:val="005F078D"/>
    <w:rsid w:val="005F08A9"/>
    <w:rsid w:val="005F09F6"/>
    <w:rsid w:val="005F1448"/>
    <w:rsid w:val="005F1C1D"/>
    <w:rsid w:val="005F28B3"/>
    <w:rsid w:val="005F2CEA"/>
    <w:rsid w:val="005F314B"/>
    <w:rsid w:val="005F3304"/>
    <w:rsid w:val="005F36AF"/>
    <w:rsid w:val="005F4190"/>
    <w:rsid w:val="005F42B6"/>
    <w:rsid w:val="005F4394"/>
    <w:rsid w:val="005F4827"/>
    <w:rsid w:val="005F49DB"/>
    <w:rsid w:val="005F4B89"/>
    <w:rsid w:val="005F4C5D"/>
    <w:rsid w:val="005F4D43"/>
    <w:rsid w:val="005F544F"/>
    <w:rsid w:val="005F5832"/>
    <w:rsid w:val="005F5BC6"/>
    <w:rsid w:val="005F5C66"/>
    <w:rsid w:val="005F5F22"/>
    <w:rsid w:val="005F6018"/>
    <w:rsid w:val="005F6670"/>
    <w:rsid w:val="005F675D"/>
    <w:rsid w:val="005F67EE"/>
    <w:rsid w:val="005F6810"/>
    <w:rsid w:val="005F6A76"/>
    <w:rsid w:val="005F6F2F"/>
    <w:rsid w:val="005F7104"/>
    <w:rsid w:val="005F7B7F"/>
    <w:rsid w:val="005F7CB1"/>
    <w:rsid w:val="005F7D01"/>
    <w:rsid w:val="005F7D79"/>
    <w:rsid w:val="005F7E93"/>
    <w:rsid w:val="005F7ED2"/>
    <w:rsid w:val="0060037C"/>
    <w:rsid w:val="0060057C"/>
    <w:rsid w:val="006005E6"/>
    <w:rsid w:val="00600D20"/>
    <w:rsid w:val="00600F75"/>
    <w:rsid w:val="0060118C"/>
    <w:rsid w:val="006013A8"/>
    <w:rsid w:val="006013DF"/>
    <w:rsid w:val="00601742"/>
    <w:rsid w:val="0060211E"/>
    <w:rsid w:val="006025ED"/>
    <w:rsid w:val="00602745"/>
    <w:rsid w:val="006029AE"/>
    <w:rsid w:val="00602C81"/>
    <w:rsid w:val="00602C8C"/>
    <w:rsid w:val="00602F5A"/>
    <w:rsid w:val="00602F88"/>
    <w:rsid w:val="00602FFC"/>
    <w:rsid w:val="0060317F"/>
    <w:rsid w:val="00603316"/>
    <w:rsid w:val="00603388"/>
    <w:rsid w:val="0060363D"/>
    <w:rsid w:val="00603689"/>
    <w:rsid w:val="0060375C"/>
    <w:rsid w:val="00603D98"/>
    <w:rsid w:val="00603DE8"/>
    <w:rsid w:val="00603E92"/>
    <w:rsid w:val="006040DF"/>
    <w:rsid w:val="00604109"/>
    <w:rsid w:val="0060433B"/>
    <w:rsid w:val="006045A4"/>
    <w:rsid w:val="00604AFF"/>
    <w:rsid w:val="00604B21"/>
    <w:rsid w:val="00604D35"/>
    <w:rsid w:val="0060503B"/>
    <w:rsid w:val="006054A7"/>
    <w:rsid w:val="00605BF6"/>
    <w:rsid w:val="006065F0"/>
    <w:rsid w:val="00606857"/>
    <w:rsid w:val="00606E9B"/>
    <w:rsid w:val="0060777D"/>
    <w:rsid w:val="00607FBA"/>
    <w:rsid w:val="0061027D"/>
    <w:rsid w:val="00610825"/>
    <w:rsid w:val="00610843"/>
    <w:rsid w:val="0061089F"/>
    <w:rsid w:val="00610BE8"/>
    <w:rsid w:val="00611965"/>
    <w:rsid w:val="00611A58"/>
    <w:rsid w:val="00611FCD"/>
    <w:rsid w:val="0061208C"/>
    <w:rsid w:val="0061250F"/>
    <w:rsid w:val="00612D6C"/>
    <w:rsid w:val="00612E25"/>
    <w:rsid w:val="006131F6"/>
    <w:rsid w:val="006137F8"/>
    <w:rsid w:val="00613E36"/>
    <w:rsid w:val="00614CAB"/>
    <w:rsid w:val="00615324"/>
    <w:rsid w:val="006153CD"/>
    <w:rsid w:val="006157A6"/>
    <w:rsid w:val="00615BCA"/>
    <w:rsid w:val="00615EEA"/>
    <w:rsid w:val="00615FF2"/>
    <w:rsid w:val="006162FD"/>
    <w:rsid w:val="006164B2"/>
    <w:rsid w:val="00616567"/>
    <w:rsid w:val="006168FF"/>
    <w:rsid w:val="00616A26"/>
    <w:rsid w:val="00616C96"/>
    <w:rsid w:val="00616E91"/>
    <w:rsid w:val="00616F38"/>
    <w:rsid w:val="006172AD"/>
    <w:rsid w:val="00617818"/>
    <w:rsid w:val="00617CD4"/>
    <w:rsid w:val="00620132"/>
    <w:rsid w:val="0062095C"/>
    <w:rsid w:val="00620B5A"/>
    <w:rsid w:val="00620C9F"/>
    <w:rsid w:val="00620F4A"/>
    <w:rsid w:val="006214D9"/>
    <w:rsid w:val="00621B3D"/>
    <w:rsid w:val="00621C5B"/>
    <w:rsid w:val="00621F9B"/>
    <w:rsid w:val="006224B1"/>
    <w:rsid w:val="0062261E"/>
    <w:rsid w:val="006228E5"/>
    <w:rsid w:val="00622C6B"/>
    <w:rsid w:val="00622CA4"/>
    <w:rsid w:val="00622CA5"/>
    <w:rsid w:val="00622DAC"/>
    <w:rsid w:val="0062329C"/>
    <w:rsid w:val="00623A70"/>
    <w:rsid w:val="006242E0"/>
    <w:rsid w:val="006249B2"/>
    <w:rsid w:val="00624A32"/>
    <w:rsid w:val="00624B61"/>
    <w:rsid w:val="0062500A"/>
    <w:rsid w:val="00625128"/>
    <w:rsid w:val="0062534B"/>
    <w:rsid w:val="00625621"/>
    <w:rsid w:val="0062594C"/>
    <w:rsid w:val="006259F7"/>
    <w:rsid w:val="00626A7B"/>
    <w:rsid w:val="00626AE4"/>
    <w:rsid w:val="00626BCB"/>
    <w:rsid w:val="00627688"/>
    <w:rsid w:val="006301A4"/>
    <w:rsid w:val="00630507"/>
    <w:rsid w:val="0063075E"/>
    <w:rsid w:val="00630827"/>
    <w:rsid w:val="00630946"/>
    <w:rsid w:val="00630B10"/>
    <w:rsid w:val="00631118"/>
    <w:rsid w:val="006314B9"/>
    <w:rsid w:val="00631975"/>
    <w:rsid w:val="006319C0"/>
    <w:rsid w:val="0063204E"/>
    <w:rsid w:val="0063217F"/>
    <w:rsid w:val="00632218"/>
    <w:rsid w:val="00632303"/>
    <w:rsid w:val="0063235C"/>
    <w:rsid w:val="006324FF"/>
    <w:rsid w:val="00632874"/>
    <w:rsid w:val="00632C6F"/>
    <w:rsid w:val="00632E70"/>
    <w:rsid w:val="00632E9F"/>
    <w:rsid w:val="00632F67"/>
    <w:rsid w:val="00633235"/>
    <w:rsid w:val="00633243"/>
    <w:rsid w:val="0063344C"/>
    <w:rsid w:val="0063385B"/>
    <w:rsid w:val="00633C08"/>
    <w:rsid w:val="00633C69"/>
    <w:rsid w:val="00633D89"/>
    <w:rsid w:val="00633F9B"/>
    <w:rsid w:val="00634577"/>
    <w:rsid w:val="00634786"/>
    <w:rsid w:val="0063489A"/>
    <w:rsid w:val="00634A08"/>
    <w:rsid w:val="00634EC7"/>
    <w:rsid w:val="00635419"/>
    <w:rsid w:val="00635567"/>
    <w:rsid w:val="006356DF"/>
    <w:rsid w:val="00635F91"/>
    <w:rsid w:val="00636597"/>
    <w:rsid w:val="00636770"/>
    <w:rsid w:val="00636986"/>
    <w:rsid w:val="00636A35"/>
    <w:rsid w:val="00636CEE"/>
    <w:rsid w:val="00636FA2"/>
    <w:rsid w:val="00636FA5"/>
    <w:rsid w:val="00637321"/>
    <w:rsid w:val="006373D1"/>
    <w:rsid w:val="0063742B"/>
    <w:rsid w:val="006374B6"/>
    <w:rsid w:val="00637B82"/>
    <w:rsid w:val="00640070"/>
    <w:rsid w:val="00640519"/>
    <w:rsid w:val="0064051B"/>
    <w:rsid w:val="00640BA9"/>
    <w:rsid w:val="00640BBC"/>
    <w:rsid w:val="0064185A"/>
    <w:rsid w:val="006418B4"/>
    <w:rsid w:val="006421B3"/>
    <w:rsid w:val="00642245"/>
    <w:rsid w:val="00642421"/>
    <w:rsid w:val="00642428"/>
    <w:rsid w:val="0064247A"/>
    <w:rsid w:val="00642511"/>
    <w:rsid w:val="00642C23"/>
    <w:rsid w:val="00643392"/>
    <w:rsid w:val="00643549"/>
    <w:rsid w:val="00644027"/>
    <w:rsid w:val="006442CC"/>
    <w:rsid w:val="00644FCB"/>
    <w:rsid w:val="006453C0"/>
    <w:rsid w:val="0064555B"/>
    <w:rsid w:val="00645975"/>
    <w:rsid w:val="006459B0"/>
    <w:rsid w:val="00645C14"/>
    <w:rsid w:val="00645F10"/>
    <w:rsid w:val="00646127"/>
    <w:rsid w:val="0064618B"/>
    <w:rsid w:val="00646222"/>
    <w:rsid w:val="006462F8"/>
    <w:rsid w:val="006467D6"/>
    <w:rsid w:val="006474DD"/>
    <w:rsid w:val="00647919"/>
    <w:rsid w:val="00647AF1"/>
    <w:rsid w:val="0065156E"/>
    <w:rsid w:val="00651CE7"/>
    <w:rsid w:val="00651D6A"/>
    <w:rsid w:val="00651F15"/>
    <w:rsid w:val="00652860"/>
    <w:rsid w:val="00652BC2"/>
    <w:rsid w:val="00652DCC"/>
    <w:rsid w:val="00652F51"/>
    <w:rsid w:val="0065306E"/>
    <w:rsid w:val="0065325A"/>
    <w:rsid w:val="0065395D"/>
    <w:rsid w:val="00653A10"/>
    <w:rsid w:val="00653A77"/>
    <w:rsid w:val="006542DA"/>
    <w:rsid w:val="0065457A"/>
    <w:rsid w:val="006546B5"/>
    <w:rsid w:val="00654EE2"/>
    <w:rsid w:val="00654F82"/>
    <w:rsid w:val="006553EE"/>
    <w:rsid w:val="006554AD"/>
    <w:rsid w:val="00655A85"/>
    <w:rsid w:val="0065613D"/>
    <w:rsid w:val="006561B8"/>
    <w:rsid w:val="006562D0"/>
    <w:rsid w:val="00656309"/>
    <w:rsid w:val="006563BA"/>
    <w:rsid w:val="00656666"/>
    <w:rsid w:val="006566EB"/>
    <w:rsid w:val="00656B1E"/>
    <w:rsid w:val="00656B41"/>
    <w:rsid w:val="00656BB6"/>
    <w:rsid w:val="00656CEA"/>
    <w:rsid w:val="006578B2"/>
    <w:rsid w:val="00657937"/>
    <w:rsid w:val="0065794B"/>
    <w:rsid w:val="00657B45"/>
    <w:rsid w:val="00660394"/>
    <w:rsid w:val="00660661"/>
    <w:rsid w:val="00660A12"/>
    <w:rsid w:val="00661642"/>
    <w:rsid w:val="00661742"/>
    <w:rsid w:val="0066197D"/>
    <w:rsid w:val="00661D1D"/>
    <w:rsid w:val="00661D3D"/>
    <w:rsid w:val="00661F0C"/>
    <w:rsid w:val="0066252D"/>
    <w:rsid w:val="0066286F"/>
    <w:rsid w:val="00663EA9"/>
    <w:rsid w:val="0066440F"/>
    <w:rsid w:val="00664421"/>
    <w:rsid w:val="006644D5"/>
    <w:rsid w:val="00664571"/>
    <w:rsid w:val="006645E9"/>
    <w:rsid w:val="00664C7A"/>
    <w:rsid w:val="00664D67"/>
    <w:rsid w:val="00664F77"/>
    <w:rsid w:val="006650FD"/>
    <w:rsid w:val="00665634"/>
    <w:rsid w:val="00665B7E"/>
    <w:rsid w:val="00665EF0"/>
    <w:rsid w:val="006660F9"/>
    <w:rsid w:val="00666582"/>
    <w:rsid w:val="00666699"/>
    <w:rsid w:val="00666A44"/>
    <w:rsid w:val="00666E1F"/>
    <w:rsid w:val="00666FA0"/>
    <w:rsid w:val="006670D0"/>
    <w:rsid w:val="0066747D"/>
    <w:rsid w:val="0066792C"/>
    <w:rsid w:val="00667F72"/>
    <w:rsid w:val="0067046E"/>
    <w:rsid w:val="00670682"/>
    <w:rsid w:val="00670A35"/>
    <w:rsid w:val="00671623"/>
    <w:rsid w:val="00671990"/>
    <w:rsid w:val="00671DDD"/>
    <w:rsid w:val="00671E04"/>
    <w:rsid w:val="00671FD2"/>
    <w:rsid w:val="0067225A"/>
    <w:rsid w:val="006726E2"/>
    <w:rsid w:val="006728D0"/>
    <w:rsid w:val="00672E4C"/>
    <w:rsid w:val="00673138"/>
    <w:rsid w:val="00673387"/>
    <w:rsid w:val="00673745"/>
    <w:rsid w:val="006737E4"/>
    <w:rsid w:val="00673DCE"/>
    <w:rsid w:val="00674304"/>
    <w:rsid w:val="00674316"/>
    <w:rsid w:val="00674390"/>
    <w:rsid w:val="006744E1"/>
    <w:rsid w:val="006746B3"/>
    <w:rsid w:val="0067473D"/>
    <w:rsid w:val="00675275"/>
    <w:rsid w:val="006757AB"/>
    <w:rsid w:val="0067585C"/>
    <w:rsid w:val="00675B05"/>
    <w:rsid w:val="006760C1"/>
    <w:rsid w:val="00676305"/>
    <w:rsid w:val="006766D3"/>
    <w:rsid w:val="006768B3"/>
    <w:rsid w:val="00677205"/>
    <w:rsid w:val="00677686"/>
    <w:rsid w:val="006777E1"/>
    <w:rsid w:val="006779F0"/>
    <w:rsid w:val="00677DBA"/>
    <w:rsid w:val="00677F41"/>
    <w:rsid w:val="006801D9"/>
    <w:rsid w:val="00680ACC"/>
    <w:rsid w:val="00680CE0"/>
    <w:rsid w:val="00680E2C"/>
    <w:rsid w:val="006814A9"/>
    <w:rsid w:val="006822DA"/>
    <w:rsid w:val="006823D0"/>
    <w:rsid w:val="00682B8E"/>
    <w:rsid w:val="006830F3"/>
    <w:rsid w:val="00683302"/>
    <w:rsid w:val="006834C6"/>
    <w:rsid w:val="006837C5"/>
    <w:rsid w:val="006838FB"/>
    <w:rsid w:val="00683A27"/>
    <w:rsid w:val="00683DDC"/>
    <w:rsid w:val="00683E0E"/>
    <w:rsid w:val="00684276"/>
    <w:rsid w:val="0068434F"/>
    <w:rsid w:val="006847C0"/>
    <w:rsid w:val="00684DAD"/>
    <w:rsid w:val="00684E74"/>
    <w:rsid w:val="00684EE9"/>
    <w:rsid w:val="006850D6"/>
    <w:rsid w:val="0068527D"/>
    <w:rsid w:val="0068540B"/>
    <w:rsid w:val="00685456"/>
    <w:rsid w:val="00685598"/>
    <w:rsid w:val="006857EA"/>
    <w:rsid w:val="00685984"/>
    <w:rsid w:val="00685AE2"/>
    <w:rsid w:val="00685D33"/>
    <w:rsid w:val="0068611A"/>
    <w:rsid w:val="00686363"/>
    <w:rsid w:val="00686B8F"/>
    <w:rsid w:val="00686C8C"/>
    <w:rsid w:val="006871E1"/>
    <w:rsid w:val="0068760D"/>
    <w:rsid w:val="0068764C"/>
    <w:rsid w:val="0068779F"/>
    <w:rsid w:val="006877E2"/>
    <w:rsid w:val="00690108"/>
    <w:rsid w:val="0069094B"/>
    <w:rsid w:val="00690B1D"/>
    <w:rsid w:val="00690B6D"/>
    <w:rsid w:val="00690E6D"/>
    <w:rsid w:val="0069114D"/>
    <w:rsid w:val="00692117"/>
    <w:rsid w:val="00692D8C"/>
    <w:rsid w:val="00692DC8"/>
    <w:rsid w:val="0069302B"/>
    <w:rsid w:val="0069310E"/>
    <w:rsid w:val="00693175"/>
    <w:rsid w:val="00693A46"/>
    <w:rsid w:val="00693D5C"/>
    <w:rsid w:val="00693DEE"/>
    <w:rsid w:val="00693E42"/>
    <w:rsid w:val="00693FDB"/>
    <w:rsid w:val="0069417D"/>
    <w:rsid w:val="00694296"/>
    <w:rsid w:val="006943D3"/>
    <w:rsid w:val="00694440"/>
    <w:rsid w:val="00694C1D"/>
    <w:rsid w:val="006953A8"/>
    <w:rsid w:val="0069560F"/>
    <w:rsid w:val="006959A4"/>
    <w:rsid w:val="00695AC4"/>
    <w:rsid w:val="00695C15"/>
    <w:rsid w:val="0069605B"/>
    <w:rsid w:val="006963A8"/>
    <w:rsid w:val="006963EC"/>
    <w:rsid w:val="00696ADB"/>
    <w:rsid w:val="00696E47"/>
    <w:rsid w:val="00697497"/>
    <w:rsid w:val="006A039D"/>
    <w:rsid w:val="006A03AC"/>
    <w:rsid w:val="006A0A5C"/>
    <w:rsid w:val="006A0CB7"/>
    <w:rsid w:val="006A15A3"/>
    <w:rsid w:val="006A1801"/>
    <w:rsid w:val="006A23FF"/>
    <w:rsid w:val="006A2EDB"/>
    <w:rsid w:val="006A3423"/>
    <w:rsid w:val="006A35F0"/>
    <w:rsid w:val="006A3A97"/>
    <w:rsid w:val="006A3E71"/>
    <w:rsid w:val="006A40B3"/>
    <w:rsid w:val="006A4371"/>
    <w:rsid w:val="006A46D7"/>
    <w:rsid w:val="006A4857"/>
    <w:rsid w:val="006A48DA"/>
    <w:rsid w:val="006A4A87"/>
    <w:rsid w:val="006A4F82"/>
    <w:rsid w:val="006A4FA8"/>
    <w:rsid w:val="006A4FCA"/>
    <w:rsid w:val="006A5135"/>
    <w:rsid w:val="006A522A"/>
    <w:rsid w:val="006A55FF"/>
    <w:rsid w:val="006A57FE"/>
    <w:rsid w:val="006A5E74"/>
    <w:rsid w:val="006A6014"/>
    <w:rsid w:val="006A666D"/>
    <w:rsid w:val="006A667D"/>
    <w:rsid w:val="006A6813"/>
    <w:rsid w:val="006A6BE4"/>
    <w:rsid w:val="006A6DB5"/>
    <w:rsid w:val="006A6F3B"/>
    <w:rsid w:val="006A7593"/>
    <w:rsid w:val="006B0E6F"/>
    <w:rsid w:val="006B1639"/>
    <w:rsid w:val="006B1CEC"/>
    <w:rsid w:val="006B1F44"/>
    <w:rsid w:val="006B2917"/>
    <w:rsid w:val="006B2BC4"/>
    <w:rsid w:val="006B2EF5"/>
    <w:rsid w:val="006B31B1"/>
    <w:rsid w:val="006B33E1"/>
    <w:rsid w:val="006B3ACC"/>
    <w:rsid w:val="006B3CDA"/>
    <w:rsid w:val="006B3CE0"/>
    <w:rsid w:val="006B3EA2"/>
    <w:rsid w:val="006B41A8"/>
    <w:rsid w:val="006B4737"/>
    <w:rsid w:val="006B4BD1"/>
    <w:rsid w:val="006B513D"/>
    <w:rsid w:val="006B5166"/>
    <w:rsid w:val="006B55A8"/>
    <w:rsid w:val="006B55FF"/>
    <w:rsid w:val="006B5C37"/>
    <w:rsid w:val="006B5C7C"/>
    <w:rsid w:val="006B5D66"/>
    <w:rsid w:val="006B5F36"/>
    <w:rsid w:val="006B5FEA"/>
    <w:rsid w:val="006B6416"/>
    <w:rsid w:val="006B6787"/>
    <w:rsid w:val="006B68B3"/>
    <w:rsid w:val="006B68D2"/>
    <w:rsid w:val="006B6E5F"/>
    <w:rsid w:val="006B72C9"/>
    <w:rsid w:val="006B761F"/>
    <w:rsid w:val="006B7758"/>
    <w:rsid w:val="006B77A0"/>
    <w:rsid w:val="006B7A16"/>
    <w:rsid w:val="006B7CBC"/>
    <w:rsid w:val="006B7E15"/>
    <w:rsid w:val="006C03A6"/>
    <w:rsid w:val="006C066B"/>
    <w:rsid w:val="006C080A"/>
    <w:rsid w:val="006C0C42"/>
    <w:rsid w:val="006C0FA8"/>
    <w:rsid w:val="006C1089"/>
    <w:rsid w:val="006C1786"/>
    <w:rsid w:val="006C1BBA"/>
    <w:rsid w:val="006C1DDC"/>
    <w:rsid w:val="006C22F5"/>
    <w:rsid w:val="006C2380"/>
    <w:rsid w:val="006C2601"/>
    <w:rsid w:val="006C2A17"/>
    <w:rsid w:val="006C3680"/>
    <w:rsid w:val="006C39F2"/>
    <w:rsid w:val="006C3A46"/>
    <w:rsid w:val="006C408B"/>
    <w:rsid w:val="006C40EA"/>
    <w:rsid w:val="006C4589"/>
    <w:rsid w:val="006C4665"/>
    <w:rsid w:val="006C4677"/>
    <w:rsid w:val="006C4965"/>
    <w:rsid w:val="006C4D85"/>
    <w:rsid w:val="006C4E2F"/>
    <w:rsid w:val="006C4E42"/>
    <w:rsid w:val="006C4F0A"/>
    <w:rsid w:val="006C4F15"/>
    <w:rsid w:val="006C4FDE"/>
    <w:rsid w:val="006C522C"/>
    <w:rsid w:val="006C5B7A"/>
    <w:rsid w:val="006C5C43"/>
    <w:rsid w:val="006C5DDE"/>
    <w:rsid w:val="006C63B4"/>
    <w:rsid w:val="006C63F9"/>
    <w:rsid w:val="006C66EF"/>
    <w:rsid w:val="006C66F3"/>
    <w:rsid w:val="006C69A9"/>
    <w:rsid w:val="006C6AB8"/>
    <w:rsid w:val="006C6C57"/>
    <w:rsid w:val="006C6C67"/>
    <w:rsid w:val="006C6CC0"/>
    <w:rsid w:val="006C707C"/>
    <w:rsid w:val="006C70F1"/>
    <w:rsid w:val="006C73FD"/>
    <w:rsid w:val="006C74C2"/>
    <w:rsid w:val="006C74ED"/>
    <w:rsid w:val="006C7665"/>
    <w:rsid w:val="006C7C96"/>
    <w:rsid w:val="006D06A3"/>
    <w:rsid w:val="006D08B1"/>
    <w:rsid w:val="006D0BCF"/>
    <w:rsid w:val="006D13F3"/>
    <w:rsid w:val="006D16A5"/>
    <w:rsid w:val="006D182B"/>
    <w:rsid w:val="006D1BF8"/>
    <w:rsid w:val="006D22C5"/>
    <w:rsid w:val="006D2886"/>
    <w:rsid w:val="006D2C88"/>
    <w:rsid w:val="006D2CF6"/>
    <w:rsid w:val="006D2D63"/>
    <w:rsid w:val="006D3108"/>
    <w:rsid w:val="006D313B"/>
    <w:rsid w:val="006D3340"/>
    <w:rsid w:val="006D3787"/>
    <w:rsid w:val="006D3821"/>
    <w:rsid w:val="006D3BA7"/>
    <w:rsid w:val="006D4491"/>
    <w:rsid w:val="006D44DB"/>
    <w:rsid w:val="006D48D2"/>
    <w:rsid w:val="006D4A2A"/>
    <w:rsid w:val="006D4F12"/>
    <w:rsid w:val="006D5038"/>
    <w:rsid w:val="006D5241"/>
    <w:rsid w:val="006D578B"/>
    <w:rsid w:val="006D5DAD"/>
    <w:rsid w:val="006D63E9"/>
    <w:rsid w:val="006D6415"/>
    <w:rsid w:val="006D6925"/>
    <w:rsid w:val="006D6940"/>
    <w:rsid w:val="006D6C29"/>
    <w:rsid w:val="006D6E23"/>
    <w:rsid w:val="006D7105"/>
    <w:rsid w:val="006D7359"/>
    <w:rsid w:val="006D74E3"/>
    <w:rsid w:val="006D7537"/>
    <w:rsid w:val="006D7DC6"/>
    <w:rsid w:val="006D7F55"/>
    <w:rsid w:val="006D7FB9"/>
    <w:rsid w:val="006E0560"/>
    <w:rsid w:val="006E078D"/>
    <w:rsid w:val="006E0C62"/>
    <w:rsid w:val="006E0C67"/>
    <w:rsid w:val="006E0EC0"/>
    <w:rsid w:val="006E0FDC"/>
    <w:rsid w:val="006E12FE"/>
    <w:rsid w:val="006E1AEF"/>
    <w:rsid w:val="006E20C3"/>
    <w:rsid w:val="006E288F"/>
    <w:rsid w:val="006E2D1C"/>
    <w:rsid w:val="006E2D6D"/>
    <w:rsid w:val="006E3154"/>
    <w:rsid w:val="006E31D2"/>
    <w:rsid w:val="006E39EE"/>
    <w:rsid w:val="006E3BBA"/>
    <w:rsid w:val="006E3C08"/>
    <w:rsid w:val="006E3E1D"/>
    <w:rsid w:val="006E3F4D"/>
    <w:rsid w:val="006E3F85"/>
    <w:rsid w:val="006E3F9A"/>
    <w:rsid w:val="006E4398"/>
    <w:rsid w:val="006E498C"/>
    <w:rsid w:val="006E4D02"/>
    <w:rsid w:val="006E4EDD"/>
    <w:rsid w:val="006E51DE"/>
    <w:rsid w:val="006E5405"/>
    <w:rsid w:val="006E563D"/>
    <w:rsid w:val="006E5864"/>
    <w:rsid w:val="006E5A7C"/>
    <w:rsid w:val="006E5BC1"/>
    <w:rsid w:val="006E5E0E"/>
    <w:rsid w:val="006E5FA7"/>
    <w:rsid w:val="006E5FAB"/>
    <w:rsid w:val="006E5FC1"/>
    <w:rsid w:val="006E649D"/>
    <w:rsid w:val="006E6634"/>
    <w:rsid w:val="006E6721"/>
    <w:rsid w:val="006E68A3"/>
    <w:rsid w:val="006E68C7"/>
    <w:rsid w:val="006E68DE"/>
    <w:rsid w:val="006E69A2"/>
    <w:rsid w:val="006E69F8"/>
    <w:rsid w:val="006E6A9E"/>
    <w:rsid w:val="006E6BFA"/>
    <w:rsid w:val="006E6C8A"/>
    <w:rsid w:val="006E7121"/>
    <w:rsid w:val="006E7181"/>
    <w:rsid w:val="006E7790"/>
    <w:rsid w:val="006E7A56"/>
    <w:rsid w:val="006E7C25"/>
    <w:rsid w:val="006E7FA9"/>
    <w:rsid w:val="006F004F"/>
    <w:rsid w:val="006F01B5"/>
    <w:rsid w:val="006F0327"/>
    <w:rsid w:val="006F032B"/>
    <w:rsid w:val="006F04C9"/>
    <w:rsid w:val="006F0584"/>
    <w:rsid w:val="006F06DE"/>
    <w:rsid w:val="006F0A1F"/>
    <w:rsid w:val="006F0DAA"/>
    <w:rsid w:val="006F104E"/>
    <w:rsid w:val="006F1161"/>
    <w:rsid w:val="006F12A3"/>
    <w:rsid w:val="006F14F9"/>
    <w:rsid w:val="006F171C"/>
    <w:rsid w:val="006F1997"/>
    <w:rsid w:val="006F1F97"/>
    <w:rsid w:val="006F22B6"/>
    <w:rsid w:val="006F28D4"/>
    <w:rsid w:val="006F29AA"/>
    <w:rsid w:val="006F2D23"/>
    <w:rsid w:val="006F364E"/>
    <w:rsid w:val="006F3D91"/>
    <w:rsid w:val="006F411B"/>
    <w:rsid w:val="006F4BD8"/>
    <w:rsid w:val="006F5373"/>
    <w:rsid w:val="006F5A4E"/>
    <w:rsid w:val="006F5EDB"/>
    <w:rsid w:val="006F637A"/>
    <w:rsid w:val="006F6A55"/>
    <w:rsid w:val="006F6AAF"/>
    <w:rsid w:val="006F6D7A"/>
    <w:rsid w:val="006F6E68"/>
    <w:rsid w:val="006F6EEC"/>
    <w:rsid w:val="006F70B0"/>
    <w:rsid w:val="006F72B0"/>
    <w:rsid w:val="006F761F"/>
    <w:rsid w:val="006F7CBD"/>
    <w:rsid w:val="006F7FBD"/>
    <w:rsid w:val="007000A9"/>
    <w:rsid w:val="007002C0"/>
    <w:rsid w:val="0070043D"/>
    <w:rsid w:val="00700673"/>
    <w:rsid w:val="00700CB7"/>
    <w:rsid w:val="00701020"/>
    <w:rsid w:val="0070151F"/>
    <w:rsid w:val="007017E0"/>
    <w:rsid w:val="007018D4"/>
    <w:rsid w:val="007024BC"/>
    <w:rsid w:val="007027CE"/>
    <w:rsid w:val="00702A6F"/>
    <w:rsid w:val="00702AAE"/>
    <w:rsid w:val="00702CCC"/>
    <w:rsid w:val="0070318B"/>
    <w:rsid w:val="0070321D"/>
    <w:rsid w:val="007033E2"/>
    <w:rsid w:val="007034B1"/>
    <w:rsid w:val="007036B3"/>
    <w:rsid w:val="0070396B"/>
    <w:rsid w:val="00703DB5"/>
    <w:rsid w:val="00703E4D"/>
    <w:rsid w:val="00704705"/>
    <w:rsid w:val="0070490A"/>
    <w:rsid w:val="00704FB5"/>
    <w:rsid w:val="00704FC6"/>
    <w:rsid w:val="00705575"/>
    <w:rsid w:val="00705BCA"/>
    <w:rsid w:val="00705BF0"/>
    <w:rsid w:val="007060D7"/>
    <w:rsid w:val="0070647B"/>
    <w:rsid w:val="00706E96"/>
    <w:rsid w:val="007078ED"/>
    <w:rsid w:val="0071012F"/>
    <w:rsid w:val="00710218"/>
    <w:rsid w:val="007103D4"/>
    <w:rsid w:val="007105C2"/>
    <w:rsid w:val="007109ED"/>
    <w:rsid w:val="00710F3D"/>
    <w:rsid w:val="00710FD2"/>
    <w:rsid w:val="00711082"/>
    <w:rsid w:val="00711103"/>
    <w:rsid w:val="00711325"/>
    <w:rsid w:val="00711404"/>
    <w:rsid w:val="00711620"/>
    <w:rsid w:val="00711719"/>
    <w:rsid w:val="00711E94"/>
    <w:rsid w:val="00712159"/>
    <w:rsid w:val="0071275D"/>
    <w:rsid w:val="007127C9"/>
    <w:rsid w:val="00712A34"/>
    <w:rsid w:val="00712AEC"/>
    <w:rsid w:val="00712C6D"/>
    <w:rsid w:val="00712E67"/>
    <w:rsid w:val="00713264"/>
    <w:rsid w:val="00713850"/>
    <w:rsid w:val="007138B4"/>
    <w:rsid w:val="00714137"/>
    <w:rsid w:val="00714185"/>
    <w:rsid w:val="007142B5"/>
    <w:rsid w:val="00714456"/>
    <w:rsid w:val="00714656"/>
    <w:rsid w:val="00714953"/>
    <w:rsid w:val="00714B92"/>
    <w:rsid w:val="00714D7F"/>
    <w:rsid w:val="00714EDD"/>
    <w:rsid w:val="0071508E"/>
    <w:rsid w:val="00715472"/>
    <w:rsid w:val="0071581D"/>
    <w:rsid w:val="00715AA2"/>
    <w:rsid w:val="00715D59"/>
    <w:rsid w:val="0071602D"/>
    <w:rsid w:val="007162B9"/>
    <w:rsid w:val="00716D2C"/>
    <w:rsid w:val="0071798C"/>
    <w:rsid w:val="00717CF1"/>
    <w:rsid w:val="007200F4"/>
    <w:rsid w:val="00720571"/>
    <w:rsid w:val="0072079E"/>
    <w:rsid w:val="007208CC"/>
    <w:rsid w:val="00720C21"/>
    <w:rsid w:val="00720C57"/>
    <w:rsid w:val="00720EFB"/>
    <w:rsid w:val="00720F7D"/>
    <w:rsid w:val="00721058"/>
    <w:rsid w:val="0072144F"/>
    <w:rsid w:val="007216D0"/>
    <w:rsid w:val="0072198D"/>
    <w:rsid w:val="00721D0E"/>
    <w:rsid w:val="00721FE3"/>
    <w:rsid w:val="0072205A"/>
    <w:rsid w:val="00722294"/>
    <w:rsid w:val="007222B4"/>
    <w:rsid w:val="0072230F"/>
    <w:rsid w:val="00722336"/>
    <w:rsid w:val="0072250B"/>
    <w:rsid w:val="00722685"/>
    <w:rsid w:val="00722EE0"/>
    <w:rsid w:val="00722EEC"/>
    <w:rsid w:val="007232AF"/>
    <w:rsid w:val="00723663"/>
    <w:rsid w:val="007239F7"/>
    <w:rsid w:val="00723AB2"/>
    <w:rsid w:val="00724AA4"/>
    <w:rsid w:val="00724B01"/>
    <w:rsid w:val="00724B85"/>
    <w:rsid w:val="00724BE3"/>
    <w:rsid w:val="00724E00"/>
    <w:rsid w:val="00724EFD"/>
    <w:rsid w:val="00725C1F"/>
    <w:rsid w:val="0072613B"/>
    <w:rsid w:val="00726229"/>
    <w:rsid w:val="007267C8"/>
    <w:rsid w:val="007268D2"/>
    <w:rsid w:val="00726994"/>
    <w:rsid w:val="00726E40"/>
    <w:rsid w:val="0072723F"/>
    <w:rsid w:val="0072750F"/>
    <w:rsid w:val="0072784B"/>
    <w:rsid w:val="00727A5E"/>
    <w:rsid w:val="0073013D"/>
    <w:rsid w:val="00730486"/>
    <w:rsid w:val="00730FD7"/>
    <w:rsid w:val="00732360"/>
    <w:rsid w:val="007326B4"/>
    <w:rsid w:val="00732B6A"/>
    <w:rsid w:val="007332CF"/>
    <w:rsid w:val="007334E1"/>
    <w:rsid w:val="00733850"/>
    <w:rsid w:val="00733B73"/>
    <w:rsid w:val="00733D28"/>
    <w:rsid w:val="00733DCA"/>
    <w:rsid w:val="007344D5"/>
    <w:rsid w:val="00734530"/>
    <w:rsid w:val="007349F0"/>
    <w:rsid w:val="00734D86"/>
    <w:rsid w:val="00734EA8"/>
    <w:rsid w:val="007352A1"/>
    <w:rsid w:val="007355C6"/>
    <w:rsid w:val="0073584E"/>
    <w:rsid w:val="0073591D"/>
    <w:rsid w:val="0073597A"/>
    <w:rsid w:val="00735AE9"/>
    <w:rsid w:val="007362BE"/>
    <w:rsid w:val="007369B6"/>
    <w:rsid w:val="00736C33"/>
    <w:rsid w:val="00737B0F"/>
    <w:rsid w:val="00740173"/>
    <w:rsid w:val="0074020D"/>
    <w:rsid w:val="007405EE"/>
    <w:rsid w:val="0074088A"/>
    <w:rsid w:val="00740A38"/>
    <w:rsid w:val="007410E4"/>
    <w:rsid w:val="00741229"/>
    <w:rsid w:val="007415EF"/>
    <w:rsid w:val="007417BF"/>
    <w:rsid w:val="007417E8"/>
    <w:rsid w:val="0074180E"/>
    <w:rsid w:val="007419C0"/>
    <w:rsid w:val="00741EFA"/>
    <w:rsid w:val="007425FA"/>
    <w:rsid w:val="007427FC"/>
    <w:rsid w:val="00742984"/>
    <w:rsid w:val="007429E7"/>
    <w:rsid w:val="00742ED3"/>
    <w:rsid w:val="00742F1C"/>
    <w:rsid w:val="007431AE"/>
    <w:rsid w:val="007431F0"/>
    <w:rsid w:val="0074330D"/>
    <w:rsid w:val="00743422"/>
    <w:rsid w:val="00743550"/>
    <w:rsid w:val="007437D4"/>
    <w:rsid w:val="00743E4F"/>
    <w:rsid w:val="00744207"/>
    <w:rsid w:val="00744355"/>
    <w:rsid w:val="0074484B"/>
    <w:rsid w:val="00744A6C"/>
    <w:rsid w:val="00744CC7"/>
    <w:rsid w:val="007452C4"/>
    <w:rsid w:val="007455E2"/>
    <w:rsid w:val="007455FF"/>
    <w:rsid w:val="00745711"/>
    <w:rsid w:val="00746274"/>
    <w:rsid w:val="007467B9"/>
    <w:rsid w:val="007469F7"/>
    <w:rsid w:val="00746D6F"/>
    <w:rsid w:val="00746ECB"/>
    <w:rsid w:val="00747230"/>
    <w:rsid w:val="007479AC"/>
    <w:rsid w:val="007479BD"/>
    <w:rsid w:val="00747B9A"/>
    <w:rsid w:val="00747EAA"/>
    <w:rsid w:val="007503A6"/>
    <w:rsid w:val="00750710"/>
    <w:rsid w:val="0075098F"/>
    <w:rsid w:val="00750C2F"/>
    <w:rsid w:val="00750F68"/>
    <w:rsid w:val="0075138F"/>
    <w:rsid w:val="00751624"/>
    <w:rsid w:val="0075169F"/>
    <w:rsid w:val="007517A7"/>
    <w:rsid w:val="00751D1A"/>
    <w:rsid w:val="00751E1E"/>
    <w:rsid w:val="007520C5"/>
    <w:rsid w:val="0075210D"/>
    <w:rsid w:val="007521C6"/>
    <w:rsid w:val="007521C7"/>
    <w:rsid w:val="00752321"/>
    <w:rsid w:val="007529AC"/>
    <w:rsid w:val="00752F16"/>
    <w:rsid w:val="0075313D"/>
    <w:rsid w:val="007531EF"/>
    <w:rsid w:val="007532E8"/>
    <w:rsid w:val="00753582"/>
    <w:rsid w:val="00753C17"/>
    <w:rsid w:val="00753D04"/>
    <w:rsid w:val="007542A9"/>
    <w:rsid w:val="007542C9"/>
    <w:rsid w:val="00754653"/>
    <w:rsid w:val="00754B40"/>
    <w:rsid w:val="00754BF5"/>
    <w:rsid w:val="00755101"/>
    <w:rsid w:val="007551F7"/>
    <w:rsid w:val="007552A6"/>
    <w:rsid w:val="007553DA"/>
    <w:rsid w:val="00755AE3"/>
    <w:rsid w:val="00755EE6"/>
    <w:rsid w:val="00755F55"/>
    <w:rsid w:val="00756B06"/>
    <w:rsid w:val="00757104"/>
    <w:rsid w:val="00757597"/>
    <w:rsid w:val="00757932"/>
    <w:rsid w:val="00757A64"/>
    <w:rsid w:val="00757F34"/>
    <w:rsid w:val="00760709"/>
    <w:rsid w:val="007608A9"/>
    <w:rsid w:val="00760C1D"/>
    <w:rsid w:val="00760E6A"/>
    <w:rsid w:val="00761022"/>
    <w:rsid w:val="00761038"/>
    <w:rsid w:val="007621B6"/>
    <w:rsid w:val="007621CB"/>
    <w:rsid w:val="0076222A"/>
    <w:rsid w:val="007622BE"/>
    <w:rsid w:val="00762C96"/>
    <w:rsid w:val="00762E9B"/>
    <w:rsid w:val="0076318E"/>
    <w:rsid w:val="00763281"/>
    <w:rsid w:val="007639B5"/>
    <w:rsid w:val="007641D0"/>
    <w:rsid w:val="00764489"/>
    <w:rsid w:val="0076453A"/>
    <w:rsid w:val="0076496E"/>
    <w:rsid w:val="00764A75"/>
    <w:rsid w:val="00764D21"/>
    <w:rsid w:val="00764D33"/>
    <w:rsid w:val="00764D39"/>
    <w:rsid w:val="00765383"/>
    <w:rsid w:val="00765829"/>
    <w:rsid w:val="00765DFD"/>
    <w:rsid w:val="00765E56"/>
    <w:rsid w:val="00766DCF"/>
    <w:rsid w:val="007674A1"/>
    <w:rsid w:val="00767C3B"/>
    <w:rsid w:val="00767F6F"/>
    <w:rsid w:val="00770191"/>
    <w:rsid w:val="00770A86"/>
    <w:rsid w:val="00770B36"/>
    <w:rsid w:val="00770BF1"/>
    <w:rsid w:val="007710B5"/>
    <w:rsid w:val="007711C7"/>
    <w:rsid w:val="007714AF"/>
    <w:rsid w:val="007716BF"/>
    <w:rsid w:val="007720CA"/>
    <w:rsid w:val="007724D6"/>
    <w:rsid w:val="0077286A"/>
    <w:rsid w:val="00772D68"/>
    <w:rsid w:val="00773497"/>
    <w:rsid w:val="00773D97"/>
    <w:rsid w:val="007742D3"/>
    <w:rsid w:val="00774883"/>
    <w:rsid w:val="00774E7D"/>
    <w:rsid w:val="00774E81"/>
    <w:rsid w:val="00774EA6"/>
    <w:rsid w:val="00775031"/>
    <w:rsid w:val="007750F7"/>
    <w:rsid w:val="0077537E"/>
    <w:rsid w:val="007754DB"/>
    <w:rsid w:val="0077598E"/>
    <w:rsid w:val="00775BDB"/>
    <w:rsid w:val="00775DF1"/>
    <w:rsid w:val="00775F57"/>
    <w:rsid w:val="00776030"/>
    <w:rsid w:val="00776081"/>
    <w:rsid w:val="0077636F"/>
    <w:rsid w:val="00776571"/>
    <w:rsid w:val="00776691"/>
    <w:rsid w:val="00776987"/>
    <w:rsid w:val="00776A06"/>
    <w:rsid w:val="00776B63"/>
    <w:rsid w:val="00777A0C"/>
    <w:rsid w:val="00777DE4"/>
    <w:rsid w:val="00777ED5"/>
    <w:rsid w:val="007800DF"/>
    <w:rsid w:val="0078025A"/>
    <w:rsid w:val="00780649"/>
    <w:rsid w:val="00781C0B"/>
    <w:rsid w:val="00781CE2"/>
    <w:rsid w:val="00781D14"/>
    <w:rsid w:val="00781D80"/>
    <w:rsid w:val="00781E31"/>
    <w:rsid w:val="00781F28"/>
    <w:rsid w:val="00782191"/>
    <w:rsid w:val="0078246F"/>
    <w:rsid w:val="0078276D"/>
    <w:rsid w:val="00782878"/>
    <w:rsid w:val="00782FD4"/>
    <w:rsid w:val="00782FD7"/>
    <w:rsid w:val="00783360"/>
    <w:rsid w:val="0078449D"/>
    <w:rsid w:val="0078491C"/>
    <w:rsid w:val="00784D31"/>
    <w:rsid w:val="00784E82"/>
    <w:rsid w:val="00784F61"/>
    <w:rsid w:val="007858DA"/>
    <w:rsid w:val="00785D28"/>
    <w:rsid w:val="00785D57"/>
    <w:rsid w:val="00785EE0"/>
    <w:rsid w:val="00786069"/>
    <w:rsid w:val="00786160"/>
    <w:rsid w:val="007861C4"/>
    <w:rsid w:val="00786578"/>
    <w:rsid w:val="007865AF"/>
    <w:rsid w:val="00786A2A"/>
    <w:rsid w:val="0078711B"/>
    <w:rsid w:val="007873EA"/>
    <w:rsid w:val="00787580"/>
    <w:rsid w:val="00787963"/>
    <w:rsid w:val="00787A51"/>
    <w:rsid w:val="00787B6D"/>
    <w:rsid w:val="00787C04"/>
    <w:rsid w:val="00787D76"/>
    <w:rsid w:val="00787DAA"/>
    <w:rsid w:val="007902F6"/>
    <w:rsid w:val="0079091F"/>
    <w:rsid w:val="00790D7C"/>
    <w:rsid w:val="00791108"/>
    <w:rsid w:val="00791391"/>
    <w:rsid w:val="00791B25"/>
    <w:rsid w:val="00791C07"/>
    <w:rsid w:val="00791D82"/>
    <w:rsid w:val="00791DFD"/>
    <w:rsid w:val="00792E04"/>
    <w:rsid w:val="007932CA"/>
    <w:rsid w:val="007934E1"/>
    <w:rsid w:val="007934F9"/>
    <w:rsid w:val="007937D8"/>
    <w:rsid w:val="00793AC3"/>
    <w:rsid w:val="00793AD5"/>
    <w:rsid w:val="007941C1"/>
    <w:rsid w:val="007942D7"/>
    <w:rsid w:val="00794360"/>
    <w:rsid w:val="007944A9"/>
    <w:rsid w:val="007948B9"/>
    <w:rsid w:val="00794FAC"/>
    <w:rsid w:val="007953EC"/>
    <w:rsid w:val="00795427"/>
    <w:rsid w:val="00795B28"/>
    <w:rsid w:val="007963A7"/>
    <w:rsid w:val="00796488"/>
    <w:rsid w:val="007966BF"/>
    <w:rsid w:val="00796C5A"/>
    <w:rsid w:val="00797F3A"/>
    <w:rsid w:val="00797FA7"/>
    <w:rsid w:val="00797FF3"/>
    <w:rsid w:val="007A0166"/>
    <w:rsid w:val="007A0449"/>
    <w:rsid w:val="007A056B"/>
    <w:rsid w:val="007A0C20"/>
    <w:rsid w:val="007A0C8E"/>
    <w:rsid w:val="007A0DF8"/>
    <w:rsid w:val="007A10E4"/>
    <w:rsid w:val="007A1849"/>
    <w:rsid w:val="007A1C9A"/>
    <w:rsid w:val="007A1DE9"/>
    <w:rsid w:val="007A286B"/>
    <w:rsid w:val="007A2A9C"/>
    <w:rsid w:val="007A2DF9"/>
    <w:rsid w:val="007A2E03"/>
    <w:rsid w:val="007A321A"/>
    <w:rsid w:val="007A37BB"/>
    <w:rsid w:val="007A3AB9"/>
    <w:rsid w:val="007A3C23"/>
    <w:rsid w:val="007A3C31"/>
    <w:rsid w:val="007A41C2"/>
    <w:rsid w:val="007A436C"/>
    <w:rsid w:val="007A4BFD"/>
    <w:rsid w:val="007A5003"/>
    <w:rsid w:val="007A511F"/>
    <w:rsid w:val="007A52CF"/>
    <w:rsid w:val="007A52ED"/>
    <w:rsid w:val="007A5346"/>
    <w:rsid w:val="007A6137"/>
    <w:rsid w:val="007A61F8"/>
    <w:rsid w:val="007A628E"/>
    <w:rsid w:val="007A62A2"/>
    <w:rsid w:val="007A64C7"/>
    <w:rsid w:val="007A68B8"/>
    <w:rsid w:val="007A6A1D"/>
    <w:rsid w:val="007A6E5C"/>
    <w:rsid w:val="007A7120"/>
    <w:rsid w:val="007A72B8"/>
    <w:rsid w:val="007A7973"/>
    <w:rsid w:val="007B0503"/>
    <w:rsid w:val="007B07E0"/>
    <w:rsid w:val="007B0A73"/>
    <w:rsid w:val="007B0C3A"/>
    <w:rsid w:val="007B0F56"/>
    <w:rsid w:val="007B1210"/>
    <w:rsid w:val="007B1BF1"/>
    <w:rsid w:val="007B1CD2"/>
    <w:rsid w:val="007B1ED2"/>
    <w:rsid w:val="007B1EF3"/>
    <w:rsid w:val="007B2022"/>
    <w:rsid w:val="007B20F3"/>
    <w:rsid w:val="007B234E"/>
    <w:rsid w:val="007B2624"/>
    <w:rsid w:val="007B29CC"/>
    <w:rsid w:val="007B2F13"/>
    <w:rsid w:val="007B3490"/>
    <w:rsid w:val="007B3795"/>
    <w:rsid w:val="007B3A71"/>
    <w:rsid w:val="007B4264"/>
    <w:rsid w:val="007B4451"/>
    <w:rsid w:val="007B4AA1"/>
    <w:rsid w:val="007B4C23"/>
    <w:rsid w:val="007B51A3"/>
    <w:rsid w:val="007B5634"/>
    <w:rsid w:val="007B5A17"/>
    <w:rsid w:val="007B5A73"/>
    <w:rsid w:val="007B633F"/>
    <w:rsid w:val="007B6592"/>
    <w:rsid w:val="007B66D2"/>
    <w:rsid w:val="007B6C2D"/>
    <w:rsid w:val="007B7289"/>
    <w:rsid w:val="007B766F"/>
    <w:rsid w:val="007B773F"/>
    <w:rsid w:val="007B7879"/>
    <w:rsid w:val="007B78E0"/>
    <w:rsid w:val="007B7948"/>
    <w:rsid w:val="007C010B"/>
    <w:rsid w:val="007C010C"/>
    <w:rsid w:val="007C0128"/>
    <w:rsid w:val="007C0341"/>
    <w:rsid w:val="007C0526"/>
    <w:rsid w:val="007C08D5"/>
    <w:rsid w:val="007C0E0F"/>
    <w:rsid w:val="007C0F4C"/>
    <w:rsid w:val="007C0F7A"/>
    <w:rsid w:val="007C1436"/>
    <w:rsid w:val="007C1858"/>
    <w:rsid w:val="007C2CDA"/>
    <w:rsid w:val="007C2E55"/>
    <w:rsid w:val="007C2FC6"/>
    <w:rsid w:val="007C30E4"/>
    <w:rsid w:val="007C37C6"/>
    <w:rsid w:val="007C3EA9"/>
    <w:rsid w:val="007C4ABD"/>
    <w:rsid w:val="007C4EBE"/>
    <w:rsid w:val="007C4FB9"/>
    <w:rsid w:val="007C534D"/>
    <w:rsid w:val="007C5F86"/>
    <w:rsid w:val="007C6D34"/>
    <w:rsid w:val="007C6D65"/>
    <w:rsid w:val="007C7183"/>
    <w:rsid w:val="007C71F1"/>
    <w:rsid w:val="007C7EA9"/>
    <w:rsid w:val="007C7FDB"/>
    <w:rsid w:val="007D0168"/>
    <w:rsid w:val="007D054D"/>
    <w:rsid w:val="007D05DD"/>
    <w:rsid w:val="007D088B"/>
    <w:rsid w:val="007D0E45"/>
    <w:rsid w:val="007D1EA3"/>
    <w:rsid w:val="007D1ED6"/>
    <w:rsid w:val="007D22B3"/>
    <w:rsid w:val="007D26C9"/>
    <w:rsid w:val="007D26FE"/>
    <w:rsid w:val="007D2704"/>
    <w:rsid w:val="007D29C2"/>
    <w:rsid w:val="007D3233"/>
    <w:rsid w:val="007D3405"/>
    <w:rsid w:val="007D36A1"/>
    <w:rsid w:val="007D4094"/>
    <w:rsid w:val="007D436F"/>
    <w:rsid w:val="007D4765"/>
    <w:rsid w:val="007D47EE"/>
    <w:rsid w:val="007D497F"/>
    <w:rsid w:val="007D49DE"/>
    <w:rsid w:val="007D4A08"/>
    <w:rsid w:val="007D4E93"/>
    <w:rsid w:val="007D4F9B"/>
    <w:rsid w:val="007D5388"/>
    <w:rsid w:val="007D57A4"/>
    <w:rsid w:val="007D606A"/>
    <w:rsid w:val="007D637B"/>
    <w:rsid w:val="007D6608"/>
    <w:rsid w:val="007D6E4E"/>
    <w:rsid w:val="007D708C"/>
    <w:rsid w:val="007D7283"/>
    <w:rsid w:val="007D761F"/>
    <w:rsid w:val="007D7CA9"/>
    <w:rsid w:val="007D7D22"/>
    <w:rsid w:val="007E0057"/>
    <w:rsid w:val="007E0400"/>
    <w:rsid w:val="007E06DF"/>
    <w:rsid w:val="007E08BF"/>
    <w:rsid w:val="007E0B1B"/>
    <w:rsid w:val="007E0D44"/>
    <w:rsid w:val="007E0FD1"/>
    <w:rsid w:val="007E13E1"/>
    <w:rsid w:val="007E1776"/>
    <w:rsid w:val="007E1CFB"/>
    <w:rsid w:val="007E1F86"/>
    <w:rsid w:val="007E2237"/>
    <w:rsid w:val="007E2274"/>
    <w:rsid w:val="007E2422"/>
    <w:rsid w:val="007E24B4"/>
    <w:rsid w:val="007E26D6"/>
    <w:rsid w:val="007E2A6E"/>
    <w:rsid w:val="007E2B67"/>
    <w:rsid w:val="007E2E46"/>
    <w:rsid w:val="007E302C"/>
    <w:rsid w:val="007E30AA"/>
    <w:rsid w:val="007E3135"/>
    <w:rsid w:val="007E320F"/>
    <w:rsid w:val="007E330F"/>
    <w:rsid w:val="007E338A"/>
    <w:rsid w:val="007E4830"/>
    <w:rsid w:val="007E48FF"/>
    <w:rsid w:val="007E4DD4"/>
    <w:rsid w:val="007E4DE5"/>
    <w:rsid w:val="007E50A2"/>
    <w:rsid w:val="007E50E8"/>
    <w:rsid w:val="007E531D"/>
    <w:rsid w:val="007E5819"/>
    <w:rsid w:val="007E5DC7"/>
    <w:rsid w:val="007E5E27"/>
    <w:rsid w:val="007E6250"/>
    <w:rsid w:val="007E68E1"/>
    <w:rsid w:val="007E6C2B"/>
    <w:rsid w:val="007E715B"/>
    <w:rsid w:val="007E73E2"/>
    <w:rsid w:val="007E75CA"/>
    <w:rsid w:val="007E773C"/>
    <w:rsid w:val="007E7779"/>
    <w:rsid w:val="007E7B5E"/>
    <w:rsid w:val="007E7F0A"/>
    <w:rsid w:val="007F00B4"/>
    <w:rsid w:val="007F0113"/>
    <w:rsid w:val="007F01C1"/>
    <w:rsid w:val="007F01CF"/>
    <w:rsid w:val="007F066C"/>
    <w:rsid w:val="007F0C17"/>
    <w:rsid w:val="007F10CE"/>
    <w:rsid w:val="007F1306"/>
    <w:rsid w:val="007F1446"/>
    <w:rsid w:val="007F2067"/>
    <w:rsid w:val="007F26E2"/>
    <w:rsid w:val="007F2D90"/>
    <w:rsid w:val="007F31B1"/>
    <w:rsid w:val="007F32AA"/>
    <w:rsid w:val="007F32BD"/>
    <w:rsid w:val="007F3396"/>
    <w:rsid w:val="007F3AD2"/>
    <w:rsid w:val="007F3BC5"/>
    <w:rsid w:val="007F4127"/>
    <w:rsid w:val="007F41E7"/>
    <w:rsid w:val="007F43F6"/>
    <w:rsid w:val="007F4532"/>
    <w:rsid w:val="007F4A9E"/>
    <w:rsid w:val="007F559B"/>
    <w:rsid w:val="007F568E"/>
    <w:rsid w:val="007F5B4F"/>
    <w:rsid w:val="007F5B78"/>
    <w:rsid w:val="007F5E6C"/>
    <w:rsid w:val="007F5F9B"/>
    <w:rsid w:val="007F6425"/>
    <w:rsid w:val="007F6CDE"/>
    <w:rsid w:val="007F718B"/>
    <w:rsid w:val="007F73BE"/>
    <w:rsid w:val="007F7B81"/>
    <w:rsid w:val="007F7D52"/>
    <w:rsid w:val="008002AA"/>
    <w:rsid w:val="00800446"/>
    <w:rsid w:val="0080071D"/>
    <w:rsid w:val="00800B3A"/>
    <w:rsid w:val="00800B74"/>
    <w:rsid w:val="00800EBD"/>
    <w:rsid w:val="00801D31"/>
    <w:rsid w:val="00801F0F"/>
    <w:rsid w:val="00802B40"/>
    <w:rsid w:val="00802C75"/>
    <w:rsid w:val="00802FFD"/>
    <w:rsid w:val="0080310B"/>
    <w:rsid w:val="008035CE"/>
    <w:rsid w:val="008036CB"/>
    <w:rsid w:val="008046EC"/>
    <w:rsid w:val="00804739"/>
    <w:rsid w:val="0080479E"/>
    <w:rsid w:val="008047D5"/>
    <w:rsid w:val="008049F2"/>
    <w:rsid w:val="00804CFB"/>
    <w:rsid w:val="00804E02"/>
    <w:rsid w:val="00804F1D"/>
    <w:rsid w:val="00805813"/>
    <w:rsid w:val="00805815"/>
    <w:rsid w:val="00805C86"/>
    <w:rsid w:val="00805CD3"/>
    <w:rsid w:val="00805E44"/>
    <w:rsid w:val="008062A6"/>
    <w:rsid w:val="008069AA"/>
    <w:rsid w:val="00806A99"/>
    <w:rsid w:val="00806EC5"/>
    <w:rsid w:val="008078D1"/>
    <w:rsid w:val="00807DEB"/>
    <w:rsid w:val="008104DE"/>
    <w:rsid w:val="008105C6"/>
    <w:rsid w:val="0081081A"/>
    <w:rsid w:val="00811235"/>
    <w:rsid w:val="00811317"/>
    <w:rsid w:val="008126A8"/>
    <w:rsid w:val="0081290A"/>
    <w:rsid w:val="00812F07"/>
    <w:rsid w:val="0081321C"/>
    <w:rsid w:val="008133A7"/>
    <w:rsid w:val="00813669"/>
    <w:rsid w:val="0081422F"/>
    <w:rsid w:val="008142BE"/>
    <w:rsid w:val="00814313"/>
    <w:rsid w:val="00814368"/>
    <w:rsid w:val="00814A70"/>
    <w:rsid w:val="00814AE8"/>
    <w:rsid w:val="00814C84"/>
    <w:rsid w:val="0081518B"/>
    <w:rsid w:val="008157F1"/>
    <w:rsid w:val="00815DC0"/>
    <w:rsid w:val="00815FFD"/>
    <w:rsid w:val="00816164"/>
    <w:rsid w:val="008162D1"/>
    <w:rsid w:val="008162FC"/>
    <w:rsid w:val="00816336"/>
    <w:rsid w:val="00816AFD"/>
    <w:rsid w:val="00816FDC"/>
    <w:rsid w:val="00816FE9"/>
    <w:rsid w:val="0081703B"/>
    <w:rsid w:val="00817465"/>
    <w:rsid w:val="00817948"/>
    <w:rsid w:val="00817972"/>
    <w:rsid w:val="008200E0"/>
    <w:rsid w:val="008205EE"/>
    <w:rsid w:val="0082085A"/>
    <w:rsid w:val="00820A7B"/>
    <w:rsid w:val="00820A7E"/>
    <w:rsid w:val="0082104C"/>
    <w:rsid w:val="00821342"/>
    <w:rsid w:val="0082180F"/>
    <w:rsid w:val="00821A30"/>
    <w:rsid w:val="00822503"/>
    <w:rsid w:val="0082290C"/>
    <w:rsid w:val="00822A01"/>
    <w:rsid w:val="00822BFA"/>
    <w:rsid w:val="00822C93"/>
    <w:rsid w:val="00822F7F"/>
    <w:rsid w:val="00823479"/>
    <w:rsid w:val="008234ED"/>
    <w:rsid w:val="008235BB"/>
    <w:rsid w:val="0082372D"/>
    <w:rsid w:val="00823914"/>
    <w:rsid w:val="0082398C"/>
    <w:rsid w:val="00824200"/>
    <w:rsid w:val="0082434B"/>
    <w:rsid w:val="00824355"/>
    <w:rsid w:val="00824569"/>
    <w:rsid w:val="00824C40"/>
    <w:rsid w:val="00824EDA"/>
    <w:rsid w:val="00825206"/>
    <w:rsid w:val="0082583E"/>
    <w:rsid w:val="00825A11"/>
    <w:rsid w:val="00825DDD"/>
    <w:rsid w:val="00825FE5"/>
    <w:rsid w:val="008260F9"/>
    <w:rsid w:val="0082621B"/>
    <w:rsid w:val="00826608"/>
    <w:rsid w:val="0082680D"/>
    <w:rsid w:val="00826A79"/>
    <w:rsid w:val="00826C92"/>
    <w:rsid w:val="00826E89"/>
    <w:rsid w:val="008270F9"/>
    <w:rsid w:val="0082761B"/>
    <w:rsid w:val="00827DBB"/>
    <w:rsid w:val="0083016D"/>
    <w:rsid w:val="00830290"/>
    <w:rsid w:val="008303A3"/>
    <w:rsid w:val="0083094C"/>
    <w:rsid w:val="00830991"/>
    <w:rsid w:val="008309E9"/>
    <w:rsid w:val="0083106C"/>
    <w:rsid w:val="0083127C"/>
    <w:rsid w:val="008313A5"/>
    <w:rsid w:val="008313A6"/>
    <w:rsid w:val="0083189B"/>
    <w:rsid w:val="00831EF0"/>
    <w:rsid w:val="00832085"/>
    <w:rsid w:val="00832482"/>
    <w:rsid w:val="00832733"/>
    <w:rsid w:val="00832982"/>
    <w:rsid w:val="00832E92"/>
    <w:rsid w:val="00833127"/>
    <w:rsid w:val="008333B1"/>
    <w:rsid w:val="0083356B"/>
    <w:rsid w:val="008335E0"/>
    <w:rsid w:val="0083377C"/>
    <w:rsid w:val="008338EA"/>
    <w:rsid w:val="00833B5D"/>
    <w:rsid w:val="00833F35"/>
    <w:rsid w:val="008343AF"/>
    <w:rsid w:val="008348EB"/>
    <w:rsid w:val="008350BB"/>
    <w:rsid w:val="008353DC"/>
    <w:rsid w:val="00835469"/>
    <w:rsid w:val="00835612"/>
    <w:rsid w:val="008358CC"/>
    <w:rsid w:val="0083595E"/>
    <w:rsid w:val="00835AC1"/>
    <w:rsid w:val="00836013"/>
    <w:rsid w:val="008360E6"/>
    <w:rsid w:val="008364CB"/>
    <w:rsid w:val="008365F9"/>
    <w:rsid w:val="00836602"/>
    <w:rsid w:val="00836903"/>
    <w:rsid w:val="00836BD3"/>
    <w:rsid w:val="00836DD9"/>
    <w:rsid w:val="00837492"/>
    <w:rsid w:val="00837B33"/>
    <w:rsid w:val="00837B5D"/>
    <w:rsid w:val="00837DA3"/>
    <w:rsid w:val="00840705"/>
    <w:rsid w:val="00840803"/>
    <w:rsid w:val="00840A6E"/>
    <w:rsid w:val="00840BD4"/>
    <w:rsid w:val="00840D4A"/>
    <w:rsid w:val="00841A1C"/>
    <w:rsid w:val="00841AE5"/>
    <w:rsid w:val="0084271F"/>
    <w:rsid w:val="00842B9C"/>
    <w:rsid w:val="00842BC8"/>
    <w:rsid w:val="00842BEF"/>
    <w:rsid w:val="00842EA4"/>
    <w:rsid w:val="00842F00"/>
    <w:rsid w:val="00843490"/>
    <w:rsid w:val="0084352B"/>
    <w:rsid w:val="008435D3"/>
    <w:rsid w:val="00843982"/>
    <w:rsid w:val="00843A3A"/>
    <w:rsid w:val="00844D9E"/>
    <w:rsid w:val="00845732"/>
    <w:rsid w:val="008459BD"/>
    <w:rsid w:val="00845DDA"/>
    <w:rsid w:val="008461F9"/>
    <w:rsid w:val="008464D1"/>
    <w:rsid w:val="00846603"/>
    <w:rsid w:val="00846A9C"/>
    <w:rsid w:val="00847524"/>
    <w:rsid w:val="00847EAD"/>
    <w:rsid w:val="00847FC8"/>
    <w:rsid w:val="00850157"/>
    <w:rsid w:val="0085016F"/>
    <w:rsid w:val="0085069C"/>
    <w:rsid w:val="00850851"/>
    <w:rsid w:val="00850881"/>
    <w:rsid w:val="00850910"/>
    <w:rsid w:val="0085092E"/>
    <w:rsid w:val="00850BA3"/>
    <w:rsid w:val="00851504"/>
    <w:rsid w:val="0085161B"/>
    <w:rsid w:val="0085162C"/>
    <w:rsid w:val="0085178A"/>
    <w:rsid w:val="008517E5"/>
    <w:rsid w:val="00851F49"/>
    <w:rsid w:val="00852127"/>
    <w:rsid w:val="008523AA"/>
    <w:rsid w:val="008523D4"/>
    <w:rsid w:val="008523E7"/>
    <w:rsid w:val="0085264C"/>
    <w:rsid w:val="008527BC"/>
    <w:rsid w:val="008528F9"/>
    <w:rsid w:val="00852916"/>
    <w:rsid w:val="00852945"/>
    <w:rsid w:val="008533E9"/>
    <w:rsid w:val="00853752"/>
    <w:rsid w:val="00853B34"/>
    <w:rsid w:val="00853FA0"/>
    <w:rsid w:val="0085422A"/>
    <w:rsid w:val="00854478"/>
    <w:rsid w:val="00854736"/>
    <w:rsid w:val="0085473C"/>
    <w:rsid w:val="0085475E"/>
    <w:rsid w:val="0085547A"/>
    <w:rsid w:val="00855670"/>
    <w:rsid w:val="00855837"/>
    <w:rsid w:val="008558C2"/>
    <w:rsid w:val="00855B5F"/>
    <w:rsid w:val="00856485"/>
    <w:rsid w:val="00856535"/>
    <w:rsid w:val="008568DB"/>
    <w:rsid w:val="00856986"/>
    <w:rsid w:val="008570E2"/>
    <w:rsid w:val="0085716E"/>
    <w:rsid w:val="008572D9"/>
    <w:rsid w:val="00857784"/>
    <w:rsid w:val="008579B3"/>
    <w:rsid w:val="00857CE5"/>
    <w:rsid w:val="00857F44"/>
    <w:rsid w:val="00860280"/>
    <w:rsid w:val="00860437"/>
    <w:rsid w:val="00860EC1"/>
    <w:rsid w:val="008610AC"/>
    <w:rsid w:val="00861AE6"/>
    <w:rsid w:val="00861CFB"/>
    <w:rsid w:val="00861E13"/>
    <w:rsid w:val="00861F35"/>
    <w:rsid w:val="0086218E"/>
    <w:rsid w:val="008622A0"/>
    <w:rsid w:val="008624AE"/>
    <w:rsid w:val="008624E0"/>
    <w:rsid w:val="00862CCF"/>
    <w:rsid w:val="00862E54"/>
    <w:rsid w:val="00862F66"/>
    <w:rsid w:val="00863516"/>
    <w:rsid w:val="008640A8"/>
    <w:rsid w:val="0086410E"/>
    <w:rsid w:val="008645DB"/>
    <w:rsid w:val="0086492D"/>
    <w:rsid w:val="00864D84"/>
    <w:rsid w:val="00864DE9"/>
    <w:rsid w:val="00864F44"/>
    <w:rsid w:val="008650A6"/>
    <w:rsid w:val="008650E6"/>
    <w:rsid w:val="008654FD"/>
    <w:rsid w:val="00865561"/>
    <w:rsid w:val="00865750"/>
    <w:rsid w:val="00865C1A"/>
    <w:rsid w:val="008667C6"/>
    <w:rsid w:val="00866911"/>
    <w:rsid w:val="00866AAF"/>
    <w:rsid w:val="00866B90"/>
    <w:rsid w:val="00867270"/>
    <w:rsid w:val="00867645"/>
    <w:rsid w:val="008678D0"/>
    <w:rsid w:val="0086790A"/>
    <w:rsid w:val="008700B3"/>
    <w:rsid w:val="008701DE"/>
    <w:rsid w:val="0087087F"/>
    <w:rsid w:val="008708AF"/>
    <w:rsid w:val="00870DB2"/>
    <w:rsid w:val="00870E67"/>
    <w:rsid w:val="00870F07"/>
    <w:rsid w:val="00871178"/>
    <w:rsid w:val="008712D5"/>
    <w:rsid w:val="008712F6"/>
    <w:rsid w:val="008713A1"/>
    <w:rsid w:val="008713DF"/>
    <w:rsid w:val="008714D6"/>
    <w:rsid w:val="0087156F"/>
    <w:rsid w:val="00871AF6"/>
    <w:rsid w:val="00871B34"/>
    <w:rsid w:val="00871EF8"/>
    <w:rsid w:val="008720D1"/>
    <w:rsid w:val="00872C50"/>
    <w:rsid w:val="008730D7"/>
    <w:rsid w:val="0087347A"/>
    <w:rsid w:val="00873DA6"/>
    <w:rsid w:val="00873F80"/>
    <w:rsid w:val="008746C5"/>
    <w:rsid w:val="0087474F"/>
    <w:rsid w:val="00874A05"/>
    <w:rsid w:val="00874B1A"/>
    <w:rsid w:val="0087569F"/>
    <w:rsid w:val="00875939"/>
    <w:rsid w:val="00875B0A"/>
    <w:rsid w:val="00875B2A"/>
    <w:rsid w:val="00875F34"/>
    <w:rsid w:val="00876023"/>
    <w:rsid w:val="008760FB"/>
    <w:rsid w:val="00876426"/>
    <w:rsid w:val="008764AE"/>
    <w:rsid w:val="0087689C"/>
    <w:rsid w:val="00876B17"/>
    <w:rsid w:val="00876C38"/>
    <w:rsid w:val="00876DD7"/>
    <w:rsid w:val="00876DDA"/>
    <w:rsid w:val="00876E92"/>
    <w:rsid w:val="00877181"/>
    <w:rsid w:val="008778A8"/>
    <w:rsid w:val="00877991"/>
    <w:rsid w:val="00877BF6"/>
    <w:rsid w:val="00877CD6"/>
    <w:rsid w:val="008808F8"/>
    <w:rsid w:val="008810E5"/>
    <w:rsid w:val="00881826"/>
    <w:rsid w:val="0088184F"/>
    <w:rsid w:val="00881C1D"/>
    <w:rsid w:val="00881D51"/>
    <w:rsid w:val="00881FCF"/>
    <w:rsid w:val="0088221D"/>
    <w:rsid w:val="00882CC6"/>
    <w:rsid w:val="008830A5"/>
    <w:rsid w:val="008837E0"/>
    <w:rsid w:val="00883A00"/>
    <w:rsid w:val="00883C84"/>
    <w:rsid w:val="00883CAE"/>
    <w:rsid w:val="00883CAF"/>
    <w:rsid w:val="00883D08"/>
    <w:rsid w:val="008846F3"/>
    <w:rsid w:val="00884D36"/>
    <w:rsid w:val="00884DAF"/>
    <w:rsid w:val="00884FD9"/>
    <w:rsid w:val="00885121"/>
    <w:rsid w:val="008851DD"/>
    <w:rsid w:val="008857C0"/>
    <w:rsid w:val="00885C44"/>
    <w:rsid w:val="00886026"/>
    <w:rsid w:val="008860A8"/>
    <w:rsid w:val="0088659A"/>
    <w:rsid w:val="0088682F"/>
    <w:rsid w:val="0088783D"/>
    <w:rsid w:val="008878E9"/>
    <w:rsid w:val="00890470"/>
    <w:rsid w:val="00890926"/>
    <w:rsid w:val="0089156A"/>
    <w:rsid w:val="00891B88"/>
    <w:rsid w:val="0089203A"/>
    <w:rsid w:val="0089217C"/>
    <w:rsid w:val="00892201"/>
    <w:rsid w:val="00892256"/>
    <w:rsid w:val="00892324"/>
    <w:rsid w:val="00892496"/>
    <w:rsid w:val="0089249A"/>
    <w:rsid w:val="008924C9"/>
    <w:rsid w:val="008924EB"/>
    <w:rsid w:val="00892844"/>
    <w:rsid w:val="008928DE"/>
    <w:rsid w:val="00892C5F"/>
    <w:rsid w:val="008932AB"/>
    <w:rsid w:val="0089349F"/>
    <w:rsid w:val="00893BB4"/>
    <w:rsid w:val="00893EA8"/>
    <w:rsid w:val="0089490C"/>
    <w:rsid w:val="0089501F"/>
    <w:rsid w:val="008950FA"/>
    <w:rsid w:val="00895C75"/>
    <w:rsid w:val="00895FFA"/>
    <w:rsid w:val="0089620F"/>
    <w:rsid w:val="00896214"/>
    <w:rsid w:val="00896237"/>
    <w:rsid w:val="008965AD"/>
    <w:rsid w:val="00896821"/>
    <w:rsid w:val="0089695A"/>
    <w:rsid w:val="00896E58"/>
    <w:rsid w:val="008970FF"/>
    <w:rsid w:val="008975E2"/>
    <w:rsid w:val="00897751"/>
    <w:rsid w:val="00897C6A"/>
    <w:rsid w:val="008A0847"/>
    <w:rsid w:val="008A0C7B"/>
    <w:rsid w:val="008A1010"/>
    <w:rsid w:val="008A1C25"/>
    <w:rsid w:val="008A1C54"/>
    <w:rsid w:val="008A1D49"/>
    <w:rsid w:val="008A231E"/>
    <w:rsid w:val="008A32DA"/>
    <w:rsid w:val="008A3324"/>
    <w:rsid w:val="008A3382"/>
    <w:rsid w:val="008A3907"/>
    <w:rsid w:val="008A3D9E"/>
    <w:rsid w:val="008A4329"/>
    <w:rsid w:val="008A462F"/>
    <w:rsid w:val="008A4A58"/>
    <w:rsid w:val="008A4D73"/>
    <w:rsid w:val="008A4F1F"/>
    <w:rsid w:val="008A4FA6"/>
    <w:rsid w:val="008A4FBF"/>
    <w:rsid w:val="008A51A0"/>
    <w:rsid w:val="008A5579"/>
    <w:rsid w:val="008A57B7"/>
    <w:rsid w:val="008A5EFA"/>
    <w:rsid w:val="008A63A6"/>
    <w:rsid w:val="008A6885"/>
    <w:rsid w:val="008A6C60"/>
    <w:rsid w:val="008A6C69"/>
    <w:rsid w:val="008A6D20"/>
    <w:rsid w:val="008A6E4F"/>
    <w:rsid w:val="008A6EE7"/>
    <w:rsid w:val="008A6EED"/>
    <w:rsid w:val="008A6F22"/>
    <w:rsid w:val="008A71CA"/>
    <w:rsid w:val="008A7267"/>
    <w:rsid w:val="008A7D9B"/>
    <w:rsid w:val="008B01AA"/>
    <w:rsid w:val="008B090D"/>
    <w:rsid w:val="008B0D3B"/>
    <w:rsid w:val="008B1194"/>
    <w:rsid w:val="008B15D9"/>
    <w:rsid w:val="008B176B"/>
    <w:rsid w:val="008B17FD"/>
    <w:rsid w:val="008B1976"/>
    <w:rsid w:val="008B1BFF"/>
    <w:rsid w:val="008B25D8"/>
    <w:rsid w:val="008B28EF"/>
    <w:rsid w:val="008B2A18"/>
    <w:rsid w:val="008B2A72"/>
    <w:rsid w:val="008B3717"/>
    <w:rsid w:val="008B3EBA"/>
    <w:rsid w:val="008B3F26"/>
    <w:rsid w:val="008B3F37"/>
    <w:rsid w:val="008B3FA8"/>
    <w:rsid w:val="008B412D"/>
    <w:rsid w:val="008B41DC"/>
    <w:rsid w:val="008B43D8"/>
    <w:rsid w:val="008B4608"/>
    <w:rsid w:val="008B483D"/>
    <w:rsid w:val="008B4B82"/>
    <w:rsid w:val="008B4CCD"/>
    <w:rsid w:val="008B4FFF"/>
    <w:rsid w:val="008B5622"/>
    <w:rsid w:val="008B5BFA"/>
    <w:rsid w:val="008B5CD0"/>
    <w:rsid w:val="008B5D8F"/>
    <w:rsid w:val="008B60D3"/>
    <w:rsid w:val="008B61B6"/>
    <w:rsid w:val="008B67BE"/>
    <w:rsid w:val="008B70EF"/>
    <w:rsid w:val="008B71F7"/>
    <w:rsid w:val="008B765C"/>
    <w:rsid w:val="008B797A"/>
    <w:rsid w:val="008B7FDB"/>
    <w:rsid w:val="008C009D"/>
    <w:rsid w:val="008C05F3"/>
    <w:rsid w:val="008C0709"/>
    <w:rsid w:val="008C07EA"/>
    <w:rsid w:val="008C07F9"/>
    <w:rsid w:val="008C0CE5"/>
    <w:rsid w:val="008C0F03"/>
    <w:rsid w:val="008C1415"/>
    <w:rsid w:val="008C14A9"/>
    <w:rsid w:val="008C1801"/>
    <w:rsid w:val="008C19AC"/>
    <w:rsid w:val="008C1D14"/>
    <w:rsid w:val="008C20B0"/>
    <w:rsid w:val="008C20CB"/>
    <w:rsid w:val="008C2245"/>
    <w:rsid w:val="008C235B"/>
    <w:rsid w:val="008C31F7"/>
    <w:rsid w:val="008C32B0"/>
    <w:rsid w:val="008C3380"/>
    <w:rsid w:val="008C362A"/>
    <w:rsid w:val="008C386E"/>
    <w:rsid w:val="008C3DA5"/>
    <w:rsid w:val="008C4E88"/>
    <w:rsid w:val="008C53C9"/>
    <w:rsid w:val="008C54AB"/>
    <w:rsid w:val="008C5502"/>
    <w:rsid w:val="008C56B1"/>
    <w:rsid w:val="008C5FAD"/>
    <w:rsid w:val="008C5FF3"/>
    <w:rsid w:val="008C6019"/>
    <w:rsid w:val="008C6031"/>
    <w:rsid w:val="008C6167"/>
    <w:rsid w:val="008C61D7"/>
    <w:rsid w:val="008C6503"/>
    <w:rsid w:val="008C66CF"/>
    <w:rsid w:val="008C6FBC"/>
    <w:rsid w:val="008C7269"/>
    <w:rsid w:val="008C76B9"/>
    <w:rsid w:val="008C7745"/>
    <w:rsid w:val="008C7C76"/>
    <w:rsid w:val="008C7D8C"/>
    <w:rsid w:val="008D05FF"/>
    <w:rsid w:val="008D0763"/>
    <w:rsid w:val="008D094A"/>
    <w:rsid w:val="008D0A5B"/>
    <w:rsid w:val="008D0A9D"/>
    <w:rsid w:val="008D0B15"/>
    <w:rsid w:val="008D11EE"/>
    <w:rsid w:val="008D145A"/>
    <w:rsid w:val="008D1BA9"/>
    <w:rsid w:val="008D3510"/>
    <w:rsid w:val="008D3D94"/>
    <w:rsid w:val="008D42AF"/>
    <w:rsid w:val="008D489C"/>
    <w:rsid w:val="008D4A37"/>
    <w:rsid w:val="008D4BAB"/>
    <w:rsid w:val="008D4ED2"/>
    <w:rsid w:val="008D525A"/>
    <w:rsid w:val="008D5553"/>
    <w:rsid w:val="008D56CB"/>
    <w:rsid w:val="008D5A29"/>
    <w:rsid w:val="008D5AC3"/>
    <w:rsid w:val="008D5ECD"/>
    <w:rsid w:val="008D606B"/>
    <w:rsid w:val="008D60BB"/>
    <w:rsid w:val="008D6145"/>
    <w:rsid w:val="008D616A"/>
    <w:rsid w:val="008D6C64"/>
    <w:rsid w:val="008D6E26"/>
    <w:rsid w:val="008D6E2E"/>
    <w:rsid w:val="008D78C2"/>
    <w:rsid w:val="008D79EC"/>
    <w:rsid w:val="008E0086"/>
    <w:rsid w:val="008E028D"/>
    <w:rsid w:val="008E0577"/>
    <w:rsid w:val="008E091C"/>
    <w:rsid w:val="008E0AB3"/>
    <w:rsid w:val="008E0E71"/>
    <w:rsid w:val="008E110A"/>
    <w:rsid w:val="008E13A4"/>
    <w:rsid w:val="008E13A8"/>
    <w:rsid w:val="008E23FB"/>
    <w:rsid w:val="008E2780"/>
    <w:rsid w:val="008E291D"/>
    <w:rsid w:val="008E2999"/>
    <w:rsid w:val="008E3CD3"/>
    <w:rsid w:val="008E3F75"/>
    <w:rsid w:val="008E4721"/>
    <w:rsid w:val="008E4895"/>
    <w:rsid w:val="008E4C84"/>
    <w:rsid w:val="008E512C"/>
    <w:rsid w:val="008E617A"/>
    <w:rsid w:val="008E62DB"/>
    <w:rsid w:val="008E636C"/>
    <w:rsid w:val="008E6A5B"/>
    <w:rsid w:val="008E6B70"/>
    <w:rsid w:val="008E6D9D"/>
    <w:rsid w:val="008E71EC"/>
    <w:rsid w:val="008E752C"/>
    <w:rsid w:val="008E7697"/>
    <w:rsid w:val="008E789B"/>
    <w:rsid w:val="008E7C82"/>
    <w:rsid w:val="008E7CA5"/>
    <w:rsid w:val="008F04DE"/>
    <w:rsid w:val="008F0586"/>
    <w:rsid w:val="008F05D7"/>
    <w:rsid w:val="008F064F"/>
    <w:rsid w:val="008F0891"/>
    <w:rsid w:val="008F0B10"/>
    <w:rsid w:val="008F0DD3"/>
    <w:rsid w:val="008F164E"/>
    <w:rsid w:val="008F16B5"/>
    <w:rsid w:val="008F1C1F"/>
    <w:rsid w:val="008F1D60"/>
    <w:rsid w:val="008F1DD6"/>
    <w:rsid w:val="008F249D"/>
    <w:rsid w:val="008F273F"/>
    <w:rsid w:val="008F2C0C"/>
    <w:rsid w:val="008F37E6"/>
    <w:rsid w:val="008F3806"/>
    <w:rsid w:val="008F3C4F"/>
    <w:rsid w:val="008F3D11"/>
    <w:rsid w:val="008F3FDC"/>
    <w:rsid w:val="008F40CE"/>
    <w:rsid w:val="008F4500"/>
    <w:rsid w:val="008F49EE"/>
    <w:rsid w:val="008F4BA0"/>
    <w:rsid w:val="008F4E0B"/>
    <w:rsid w:val="008F4FE1"/>
    <w:rsid w:val="008F5325"/>
    <w:rsid w:val="008F5C48"/>
    <w:rsid w:val="008F5D7A"/>
    <w:rsid w:val="008F5F09"/>
    <w:rsid w:val="008F624C"/>
    <w:rsid w:val="008F6892"/>
    <w:rsid w:val="008F6E91"/>
    <w:rsid w:val="008F72B3"/>
    <w:rsid w:val="008F7A4E"/>
    <w:rsid w:val="009002C4"/>
    <w:rsid w:val="0090075C"/>
    <w:rsid w:val="00900BED"/>
    <w:rsid w:val="009011F8"/>
    <w:rsid w:val="00901A67"/>
    <w:rsid w:val="00901B7C"/>
    <w:rsid w:val="00901D12"/>
    <w:rsid w:val="009030C4"/>
    <w:rsid w:val="0090328E"/>
    <w:rsid w:val="0090329F"/>
    <w:rsid w:val="009032FE"/>
    <w:rsid w:val="00903408"/>
    <w:rsid w:val="00903642"/>
    <w:rsid w:val="00903827"/>
    <w:rsid w:val="00903EF1"/>
    <w:rsid w:val="00904395"/>
    <w:rsid w:val="0090439B"/>
    <w:rsid w:val="009044AA"/>
    <w:rsid w:val="0090479F"/>
    <w:rsid w:val="00904821"/>
    <w:rsid w:val="00904D3A"/>
    <w:rsid w:val="00904E92"/>
    <w:rsid w:val="009051DF"/>
    <w:rsid w:val="00905745"/>
    <w:rsid w:val="00905DBB"/>
    <w:rsid w:val="009060E1"/>
    <w:rsid w:val="00906E53"/>
    <w:rsid w:val="009072B3"/>
    <w:rsid w:val="009073C1"/>
    <w:rsid w:val="00907F1B"/>
    <w:rsid w:val="00910165"/>
    <w:rsid w:val="0091032A"/>
    <w:rsid w:val="00910636"/>
    <w:rsid w:val="009107EA"/>
    <w:rsid w:val="0091083D"/>
    <w:rsid w:val="00910A34"/>
    <w:rsid w:val="00910C31"/>
    <w:rsid w:val="009115E2"/>
    <w:rsid w:val="009116C9"/>
    <w:rsid w:val="00911D63"/>
    <w:rsid w:val="009127C7"/>
    <w:rsid w:val="00912D94"/>
    <w:rsid w:val="0091342B"/>
    <w:rsid w:val="00913842"/>
    <w:rsid w:val="0091405E"/>
    <w:rsid w:val="00914150"/>
    <w:rsid w:val="009141DF"/>
    <w:rsid w:val="0091470A"/>
    <w:rsid w:val="00914C45"/>
    <w:rsid w:val="00914C91"/>
    <w:rsid w:val="00914E0F"/>
    <w:rsid w:val="00914F1A"/>
    <w:rsid w:val="009151F8"/>
    <w:rsid w:val="00915273"/>
    <w:rsid w:val="009153FF"/>
    <w:rsid w:val="00915420"/>
    <w:rsid w:val="00915579"/>
    <w:rsid w:val="009158D6"/>
    <w:rsid w:val="00915BC1"/>
    <w:rsid w:val="00915CEA"/>
    <w:rsid w:val="0091668F"/>
    <w:rsid w:val="009166CD"/>
    <w:rsid w:val="00916916"/>
    <w:rsid w:val="009169C1"/>
    <w:rsid w:val="009172B2"/>
    <w:rsid w:val="009174C3"/>
    <w:rsid w:val="00917678"/>
    <w:rsid w:val="00917837"/>
    <w:rsid w:val="0092002D"/>
    <w:rsid w:val="0092025F"/>
    <w:rsid w:val="00920665"/>
    <w:rsid w:val="009208F7"/>
    <w:rsid w:val="00920C59"/>
    <w:rsid w:val="00920CC5"/>
    <w:rsid w:val="009212DF"/>
    <w:rsid w:val="00921399"/>
    <w:rsid w:val="0092164B"/>
    <w:rsid w:val="009219B1"/>
    <w:rsid w:val="00921B3D"/>
    <w:rsid w:val="00922166"/>
    <w:rsid w:val="009221AF"/>
    <w:rsid w:val="00922311"/>
    <w:rsid w:val="0092251C"/>
    <w:rsid w:val="009226BA"/>
    <w:rsid w:val="009226E2"/>
    <w:rsid w:val="009227F0"/>
    <w:rsid w:val="009228FC"/>
    <w:rsid w:val="00922949"/>
    <w:rsid w:val="00922B45"/>
    <w:rsid w:val="00922BC9"/>
    <w:rsid w:val="00922E8B"/>
    <w:rsid w:val="00922F31"/>
    <w:rsid w:val="00923285"/>
    <w:rsid w:val="00923588"/>
    <w:rsid w:val="00923E62"/>
    <w:rsid w:val="00924003"/>
    <w:rsid w:val="00924397"/>
    <w:rsid w:val="00924640"/>
    <w:rsid w:val="009248E4"/>
    <w:rsid w:val="0092512F"/>
    <w:rsid w:val="0092536D"/>
    <w:rsid w:val="0092560B"/>
    <w:rsid w:val="009256E9"/>
    <w:rsid w:val="0092591D"/>
    <w:rsid w:val="00925B0F"/>
    <w:rsid w:val="009264EB"/>
    <w:rsid w:val="00926FBD"/>
    <w:rsid w:val="009274A5"/>
    <w:rsid w:val="0092779A"/>
    <w:rsid w:val="009304D0"/>
    <w:rsid w:val="009305C9"/>
    <w:rsid w:val="00930E59"/>
    <w:rsid w:val="00930F8B"/>
    <w:rsid w:val="00931254"/>
    <w:rsid w:val="00931A1D"/>
    <w:rsid w:val="00931CC0"/>
    <w:rsid w:val="00931CE5"/>
    <w:rsid w:val="00931D24"/>
    <w:rsid w:val="00931DCD"/>
    <w:rsid w:val="00931E70"/>
    <w:rsid w:val="00932215"/>
    <w:rsid w:val="00932380"/>
    <w:rsid w:val="0093250E"/>
    <w:rsid w:val="00932597"/>
    <w:rsid w:val="009325D7"/>
    <w:rsid w:val="0093260F"/>
    <w:rsid w:val="0093274D"/>
    <w:rsid w:val="009327BF"/>
    <w:rsid w:val="009328F1"/>
    <w:rsid w:val="00932D47"/>
    <w:rsid w:val="00933073"/>
    <w:rsid w:val="00933098"/>
    <w:rsid w:val="0093377F"/>
    <w:rsid w:val="00933DBB"/>
    <w:rsid w:val="0093405C"/>
    <w:rsid w:val="009346AC"/>
    <w:rsid w:val="009347E3"/>
    <w:rsid w:val="00934AD8"/>
    <w:rsid w:val="00934B32"/>
    <w:rsid w:val="00934B4A"/>
    <w:rsid w:val="00934C3B"/>
    <w:rsid w:val="009354FD"/>
    <w:rsid w:val="00935535"/>
    <w:rsid w:val="009355ED"/>
    <w:rsid w:val="0093561D"/>
    <w:rsid w:val="0093575D"/>
    <w:rsid w:val="00935761"/>
    <w:rsid w:val="00935B00"/>
    <w:rsid w:val="00935D6E"/>
    <w:rsid w:val="00935E4C"/>
    <w:rsid w:val="0093639D"/>
    <w:rsid w:val="00936478"/>
    <w:rsid w:val="009367E6"/>
    <w:rsid w:val="009369D0"/>
    <w:rsid w:val="009369EE"/>
    <w:rsid w:val="009372A1"/>
    <w:rsid w:val="0093737F"/>
    <w:rsid w:val="00937B28"/>
    <w:rsid w:val="00937BDF"/>
    <w:rsid w:val="00937D1A"/>
    <w:rsid w:val="00937EAB"/>
    <w:rsid w:val="00937FA3"/>
    <w:rsid w:val="00940847"/>
    <w:rsid w:val="009408BE"/>
    <w:rsid w:val="00940B8F"/>
    <w:rsid w:val="00941FCD"/>
    <w:rsid w:val="00942269"/>
    <w:rsid w:val="00942653"/>
    <w:rsid w:val="00942AD9"/>
    <w:rsid w:val="00942C31"/>
    <w:rsid w:val="00942F33"/>
    <w:rsid w:val="00942FE5"/>
    <w:rsid w:val="0094302E"/>
    <w:rsid w:val="009435D0"/>
    <w:rsid w:val="0094364E"/>
    <w:rsid w:val="00943945"/>
    <w:rsid w:val="00943C82"/>
    <w:rsid w:val="00943F6C"/>
    <w:rsid w:val="0094454C"/>
    <w:rsid w:val="00945164"/>
    <w:rsid w:val="00945300"/>
    <w:rsid w:val="009453E1"/>
    <w:rsid w:val="009453E2"/>
    <w:rsid w:val="00945A69"/>
    <w:rsid w:val="00945BAC"/>
    <w:rsid w:val="00945F11"/>
    <w:rsid w:val="009461A2"/>
    <w:rsid w:val="00946342"/>
    <w:rsid w:val="009464D8"/>
    <w:rsid w:val="009466B8"/>
    <w:rsid w:val="0094681F"/>
    <w:rsid w:val="0094691C"/>
    <w:rsid w:val="00946C46"/>
    <w:rsid w:val="00946F7B"/>
    <w:rsid w:val="00947F0E"/>
    <w:rsid w:val="009513F0"/>
    <w:rsid w:val="00951B71"/>
    <w:rsid w:val="00951D72"/>
    <w:rsid w:val="00952758"/>
    <w:rsid w:val="009529E2"/>
    <w:rsid w:val="00952B1F"/>
    <w:rsid w:val="00952F63"/>
    <w:rsid w:val="009532BF"/>
    <w:rsid w:val="0095333F"/>
    <w:rsid w:val="00953624"/>
    <w:rsid w:val="00953AB4"/>
    <w:rsid w:val="00953B55"/>
    <w:rsid w:val="00953BAC"/>
    <w:rsid w:val="00953C14"/>
    <w:rsid w:val="009540FA"/>
    <w:rsid w:val="00954222"/>
    <w:rsid w:val="00954710"/>
    <w:rsid w:val="00954795"/>
    <w:rsid w:val="00955385"/>
    <w:rsid w:val="009555C7"/>
    <w:rsid w:val="00955A3D"/>
    <w:rsid w:val="00955E81"/>
    <w:rsid w:val="00955F45"/>
    <w:rsid w:val="009560E1"/>
    <w:rsid w:val="00956224"/>
    <w:rsid w:val="009562FD"/>
    <w:rsid w:val="009567C1"/>
    <w:rsid w:val="00956A42"/>
    <w:rsid w:val="00956F91"/>
    <w:rsid w:val="00957000"/>
    <w:rsid w:val="00957104"/>
    <w:rsid w:val="009571D7"/>
    <w:rsid w:val="00957637"/>
    <w:rsid w:val="009577F7"/>
    <w:rsid w:val="00957D35"/>
    <w:rsid w:val="00960045"/>
    <w:rsid w:val="009604CF"/>
    <w:rsid w:val="0096075B"/>
    <w:rsid w:val="0096091C"/>
    <w:rsid w:val="00960BFC"/>
    <w:rsid w:val="00960C50"/>
    <w:rsid w:val="00960E51"/>
    <w:rsid w:val="00960ED0"/>
    <w:rsid w:val="009610E6"/>
    <w:rsid w:val="009612B5"/>
    <w:rsid w:val="0096142E"/>
    <w:rsid w:val="00961518"/>
    <w:rsid w:val="00961536"/>
    <w:rsid w:val="00961A06"/>
    <w:rsid w:val="00962205"/>
    <w:rsid w:val="00962231"/>
    <w:rsid w:val="0096234F"/>
    <w:rsid w:val="009630FB"/>
    <w:rsid w:val="00963140"/>
    <w:rsid w:val="0096356F"/>
    <w:rsid w:val="00963D3B"/>
    <w:rsid w:val="00963EF0"/>
    <w:rsid w:val="009640EA"/>
    <w:rsid w:val="00964452"/>
    <w:rsid w:val="009647F8"/>
    <w:rsid w:val="00964A62"/>
    <w:rsid w:val="00964E19"/>
    <w:rsid w:val="00964FF7"/>
    <w:rsid w:val="009651AE"/>
    <w:rsid w:val="00965A8E"/>
    <w:rsid w:val="00965D01"/>
    <w:rsid w:val="00966001"/>
    <w:rsid w:val="0096659C"/>
    <w:rsid w:val="00966C65"/>
    <w:rsid w:val="009672F8"/>
    <w:rsid w:val="00967872"/>
    <w:rsid w:val="0096787B"/>
    <w:rsid w:val="00967DAD"/>
    <w:rsid w:val="00967E50"/>
    <w:rsid w:val="00967F38"/>
    <w:rsid w:val="00967F81"/>
    <w:rsid w:val="00970742"/>
    <w:rsid w:val="00970EA1"/>
    <w:rsid w:val="00971A43"/>
    <w:rsid w:val="00972075"/>
    <w:rsid w:val="00972739"/>
    <w:rsid w:val="00972A50"/>
    <w:rsid w:val="00972B8F"/>
    <w:rsid w:val="00972B9E"/>
    <w:rsid w:val="00972E25"/>
    <w:rsid w:val="00972F48"/>
    <w:rsid w:val="009734A9"/>
    <w:rsid w:val="00973ECB"/>
    <w:rsid w:val="00973F7E"/>
    <w:rsid w:val="009740F1"/>
    <w:rsid w:val="0097433B"/>
    <w:rsid w:val="0097440E"/>
    <w:rsid w:val="0097474D"/>
    <w:rsid w:val="009756FC"/>
    <w:rsid w:val="009759F1"/>
    <w:rsid w:val="00975A87"/>
    <w:rsid w:val="00976505"/>
    <w:rsid w:val="00976638"/>
    <w:rsid w:val="00976C7B"/>
    <w:rsid w:val="00976F7A"/>
    <w:rsid w:val="00977099"/>
    <w:rsid w:val="00977133"/>
    <w:rsid w:val="00977397"/>
    <w:rsid w:val="009774AF"/>
    <w:rsid w:val="0097759C"/>
    <w:rsid w:val="009777B3"/>
    <w:rsid w:val="009778BC"/>
    <w:rsid w:val="00977DE6"/>
    <w:rsid w:val="00977EE4"/>
    <w:rsid w:val="009800A9"/>
    <w:rsid w:val="00980451"/>
    <w:rsid w:val="009804A5"/>
    <w:rsid w:val="00980886"/>
    <w:rsid w:val="00980A69"/>
    <w:rsid w:val="00980E1F"/>
    <w:rsid w:val="00981305"/>
    <w:rsid w:val="00981339"/>
    <w:rsid w:val="0098172D"/>
    <w:rsid w:val="00981796"/>
    <w:rsid w:val="009817F8"/>
    <w:rsid w:val="00981C6D"/>
    <w:rsid w:val="00981D5C"/>
    <w:rsid w:val="00981DF6"/>
    <w:rsid w:val="00981E15"/>
    <w:rsid w:val="009827CA"/>
    <w:rsid w:val="00982C0D"/>
    <w:rsid w:val="00982C44"/>
    <w:rsid w:val="00982E8E"/>
    <w:rsid w:val="00982FEA"/>
    <w:rsid w:val="0098324E"/>
    <w:rsid w:val="00983320"/>
    <w:rsid w:val="00983431"/>
    <w:rsid w:val="00983493"/>
    <w:rsid w:val="00983B44"/>
    <w:rsid w:val="0098433A"/>
    <w:rsid w:val="009846A1"/>
    <w:rsid w:val="00984C9F"/>
    <w:rsid w:val="00984CBE"/>
    <w:rsid w:val="00984D27"/>
    <w:rsid w:val="00984DBA"/>
    <w:rsid w:val="00984F01"/>
    <w:rsid w:val="00985029"/>
    <w:rsid w:val="0098549F"/>
    <w:rsid w:val="009858C7"/>
    <w:rsid w:val="00985B49"/>
    <w:rsid w:val="00985C7E"/>
    <w:rsid w:val="00985D9B"/>
    <w:rsid w:val="00986398"/>
    <w:rsid w:val="00986916"/>
    <w:rsid w:val="00986B2F"/>
    <w:rsid w:val="0098713F"/>
    <w:rsid w:val="00987413"/>
    <w:rsid w:val="0098745F"/>
    <w:rsid w:val="00987D5A"/>
    <w:rsid w:val="00987E11"/>
    <w:rsid w:val="00987F27"/>
    <w:rsid w:val="00987FAD"/>
    <w:rsid w:val="0099008E"/>
    <w:rsid w:val="009902B8"/>
    <w:rsid w:val="009903B9"/>
    <w:rsid w:val="00990403"/>
    <w:rsid w:val="00990586"/>
    <w:rsid w:val="009906CE"/>
    <w:rsid w:val="00990882"/>
    <w:rsid w:val="00990D4E"/>
    <w:rsid w:val="00990F04"/>
    <w:rsid w:val="00991164"/>
    <w:rsid w:val="009912B2"/>
    <w:rsid w:val="009913C3"/>
    <w:rsid w:val="0099147E"/>
    <w:rsid w:val="009916AF"/>
    <w:rsid w:val="00991D25"/>
    <w:rsid w:val="00991F86"/>
    <w:rsid w:val="009921C1"/>
    <w:rsid w:val="009927E9"/>
    <w:rsid w:val="009927FA"/>
    <w:rsid w:val="00992C87"/>
    <w:rsid w:val="00992FDE"/>
    <w:rsid w:val="00993199"/>
    <w:rsid w:val="00993694"/>
    <w:rsid w:val="00993DCE"/>
    <w:rsid w:val="009941DE"/>
    <w:rsid w:val="00994367"/>
    <w:rsid w:val="00994547"/>
    <w:rsid w:val="00994E30"/>
    <w:rsid w:val="009950A6"/>
    <w:rsid w:val="009950C1"/>
    <w:rsid w:val="009959D2"/>
    <w:rsid w:val="00995CB0"/>
    <w:rsid w:val="00995D24"/>
    <w:rsid w:val="00995DE2"/>
    <w:rsid w:val="009962C1"/>
    <w:rsid w:val="0099673F"/>
    <w:rsid w:val="00996857"/>
    <w:rsid w:val="0099689B"/>
    <w:rsid w:val="009969BA"/>
    <w:rsid w:val="009969D9"/>
    <w:rsid w:val="009969FE"/>
    <w:rsid w:val="00996AA6"/>
    <w:rsid w:val="00996BFB"/>
    <w:rsid w:val="00996DE2"/>
    <w:rsid w:val="00996F92"/>
    <w:rsid w:val="00997240"/>
    <w:rsid w:val="00997E03"/>
    <w:rsid w:val="00997EAC"/>
    <w:rsid w:val="009A0980"/>
    <w:rsid w:val="009A0C81"/>
    <w:rsid w:val="009A0D98"/>
    <w:rsid w:val="009A13F8"/>
    <w:rsid w:val="009A1681"/>
    <w:rsid w:val="009A199C"/>
    <w:rsid w:val="009A1BD4"/>
    <w:rsid w:val="009A1DAE"/>
    <w:rsid w:val="009A1EB9"/>
    <w:rsid w:val="009A20EC"/>
    <w:rsid w:val="009A21E4"/>
    <w:rsid w:val="009A2225"/>
    <w:rsid w:val="009A2766"/>
    <w:rsid w:val="009A2872"/>
    <w:rsid w:val="009A2AF0"/>
    <w:rsid w:val="009A2F6B"/>
    <w:rsid w:val="009A2FC2"/>
    <w:rsid w:val="009A350D"/>
    <w:rsid w:val="009A370C"/>
    <w:rsid w:val="009A3EFF"/>
    <w:rsid w:val="009A44B6"/>
    <w:rsid w:val="009A4693"/>
    <w:rsid w:val="009A4780"/>
    <w:rsid w:val="009A4B24"/>
    <w:rsid w:val="009A4F3A"/>
    <w:rsid w:val="009A509E"/>
    <w:rsid w:val="009A5465"/>
    <w:rsid w:val="009A572F"/>
    <w:rsid w:val="009A58B4"/>
    <w:rsid w:val="009A6035"/>
    <w:rsid w:val="009A6129"/>
    <w:rsid w:val="009A6603"/>
    <w:rsid w:val="009A662B"/>
    <w:rsid w:val="009A667D"/>
    <w:rsid w:val="009A6733"/>
    <w:rsid w:val="009A6E21"/>
    <w:rsid w:val="009A6F00"/>
    <w:rsid w:val="009A749A"/>
    <w:rsid w:val="009A776C"/>
    <w:rsid w:val="009B08FA"/>
    <w:rsid w:val="009B0E6B"/>
    <w:rsid w:val="009B0F08"/>
    <w:rsid w:val="009B1546"/>
    <w:rsid w:val="009B158B"/>
    <w:rsid w:val="009B1591"/>
    <w:rsid w:val="009B18C2"/>
    <w:rsid w:val="009B19F7"/>
    <w:rsid w:val="009B1A41"/>
    <w:rsid w:val="009B1C01"/>
    <w:rsid w:val="009B1F76"/>
    <w:rsid w:val="009B23CE"/>
    <w:rsid w:val="009B25C9"/>
    <w:rsid w:val="009B25D5"/>
    <w:rsid w:val="009B26BE"/>
    <w:rsid w:val="009B273A"/>
    <w:rsid w:val="009B28F3"/>
    <w:rsid w:val="009B2911"/>
    <w:rsid w:val="009B2AA9"/>
    <w:rsid w:val="009B2DBC"/>
    <w:rsid w:val="009B315D"/>
    <w:rsid w:val="009B3539"/>
    <w:rsid w:val="009B384F"/>
    <w:rsid w:val="009B38F4"/>
    <w:rsid w:val="009B3AED"/>
    <w:rsid w:val="009B3EAE"/>
    <w:rsid w:val="009B4025"/>
    <w:rsid w:val="009B4535"/>
    <w:rsid w:val="009B4890"/>
    <w:rsid w:val="009B490D"/>
    <w:rsid w:val="009B4DDA"/>
    <w:rsid w:val="009B5015"/>
    <w:rsid w:val="009B531F"/>
    <w:rsid w:val="009B5658"/>
    <w:rsid w:val="009B5706"/>
    <w:rsid w:val="009B5BF2"/>
    <w:rsid w:val="009B611F"/>
    <w:rsid w:val="009B6155"/>
    <w:rsid w:val="009B6281"/>
    <w:rsid w:val="009B6354"/>
    <w:rsid w:val="009B6592"/>
    <w:rsid w:val="009B6619"/>
    <w:rsid w:val="009B68D4"/>
    <w:rsid w:val="009B69B8"/>
    <w:rsid w:val="009B6AB4"/>
    <w:rsid w:val="009B6CD5"/>
    <w:rsid w:val="009B6FF9"/>
    <w:rsid w:val="009B7102"/>
    <w:rsid w:val="009B7341"/>
    <w:rsid w:val="009B78FB"/>
    <w:rsid w:val="009B7D86"/>
    <w:rsid w:val="009B7DDC"/>
    <w:rsid w:val="009C00FC"/>
    <w:rsid w:val="009C01EB"/>
    <w:rsid w:val="009C03B9"/>
    <w:rsid w:val="009C06E1"/>
    <w:rsid w:val="009C12FB"/>
    <w:rsid w:val="009C1750"/>
    <w:rsid w:val="009C180C"/>
    <w:rsid w:val="009C1933"/>
    <w:rsid w:val="009C1A48"/>
    <w:rsid w:val="009C1DB8"/>
    <w:rsid w:val="009C21B4"/>
    <w:rsid w:val="009C21ED"/>
    <w:rsid w:val="009C2B8A"/>
    <w:rsid w:val="009C2CEF"/>
    <w:rsid w:val="009C2F86"/>
    <w:rsid w:val="009C301C"/>
    <w:rsid w:val="009C31DF"/>
    <w:rsid w:val="009C3334"/>
    <w:rsid w:val="009C355D"/>
    <w:rsid w:val="009C3649"/>
    <w:rsid w:val="009C3DCC"/>
    <w:rsid w:val="009C4128"/>
    <w:rsid w:val="009C4693"/>
    <w:rsid w:val="009C4987"/>
    <w:rsid w:val="009C4F0D"/>
    <w:rsid w:val="009C4FCE"/>
    <w:rsid w:val="009C513A"/>
    <w:rsid w:val="009C5A69"/>
    <w:rsid w:val="009C5E35"/>
    <w:rsid w:val="009C5FB1"/>
    <w:rsid w:val="009C619D"/>
    <w:rsid w:val="009C64AB"/>
    <w:rsid w:val="009C6A8B"/>
    <w:rsid w:val="009C6AD6"/>
    <w:rsid w:val="009C6CB7"/>
    <w:rsid w:val="009C6EA8"/>
    <w:rsid w:val="009C70E2"/>
    <w:rsid w:val="009C7191"/>
    <w:rsid w:val="009C73C2"/>
    <w:rsid w:val="009C7EB1"/>
    <w:rsid w:val="009D01C6"/>
    <w:rsid w:val="009D01F7"/>
    <w:rsid w:val="009D0487"/>
    <w:rsid w:val="009D07AF"/>
    <w:rsid w:val="009D14CE"/>
    <w:rsid w:val="009D196D"/>
    <w:rsid w:val="009D19F2"/>
    <w:rsid w:val="009D1EA5"/>
    <w:rsid w:val="009D1EE4"/>
    <w:rsid w:val="009D2519"/>
    <w:rsid w:val="009D2A69"/>
    <w:rsid w:val="009D2A6C"/>
    <w:rsid w:val="009D2C9F"/>
    <w:rsid w:val="009D2FBF"/>
    <w:rsid w:val="009D34F8"/>
    <w:rsid w:val="009D3632"/>
    <w:rsid w:val="009D392A"/>
    <w:rsid w:val="009D3E0A"/>
    <w:rsid w:val="009D429D"/>
    <w:rsid w:val="009D43F1"/>
    <w:rsid w:val="009D455B"/>
    <w:rsid w:val="009D4716"/>
    <w:rsid w:val="009D48E7"/>
    <w:rsid w:val="009D4EE0"/>
    <w:rsid w:val="009D4F67"/>
    <w:rsid w:val="009D5070"/>
    <w:rsid w:val="009D5269"/>
    <w:rsid w:val="009D54C7"/>
    <w:rsid w:val="009D5880"/>
    <w:rsid w:val="009D5CEB"/>
    <w:rsid w:val="009D5E6B"/>
    <w:rsid w:val="009D6076"/>
    <w:rsid w:val="009D62D4"/>
    <w:rsid w:val="009D6833"/>
    <w:rsid w:val="009D6EE9"/>
    <w:rsid w:val="009D7833"/>
    <w:rsid w:val="009D7F9D"/>
    <w:rsid w:val="009E033B"/>
    <w:rsid w:val="009E0353"/>
    <w:rsid w:val="009E0DA3"/>
    <w:rsid w:val="009E1313"/>
    <w:rsid w:val="009E139A"/>
    <w:rsid w:val="009E13B5"/>
    <w:rsid w:val="009E1814"/>
    <w:rsid w:val="009E18DF"/>
    <w:rsid w:val="009E1F4E"/>
    <w:rsid w:val="009E29F7"/>
    <w:rsid w:val="009E2CCF"/>
    <w:rsid w:val="009E2D0E"/>
    <w:rsid w:val="009E2D80"/>
    <w:rsid w:val="009E33FF"/>
    <w:rsid w:val="009E3413"/>
    <w:rsid w:val="009E3C47"/>
    <w:rsid w:val="009E3EF6"/>
    <w:rsid w:val="009E4605"/>
    <w:rsid w:val="009E46C6"/>
    <w:rsid w:val="009E48B6"/>
    <w:rsid w:val="009E4E20"/>
    <w:rsid w:val="009E507B"/>
    <w:rsid w:val="009E53AB"/>
    <w:rsid w:val="009E5851"/>
    <w:rsid w:val="009E613D"/>
    <w:rsid w:val="009E67A6"/>
    <w:rsid w:val="009E7661"/>
    <w:rsid w:val="009E7CE1"/>
    <w:rsid w:val="009E7EEF"/>
    <w:rsid w:val="009F007E"/>
    <w:rsid w:val="009F00F4"/>
    <w:rsid w:val="009F0181"/>
    <w:rsid w:val="009F02F9"/>
    <w:rsid w:val="009F047A"/>
    <w:rsid w:val="009F07F5"/>
    <w:rsid w:val="009F08EF"/>
    <w:rsid w:val="009F0D73"/>
    <w:rsid w:val="009F0FBD"/>
    <w:rsid w:val="009F1669"/>
    <w:rsid w:val="009F178E"/>
    <w:rsid w:val="009F1A20"/>
    <w:rsid w:val="009F1F46"/>
    <w:rsid w:val="009F2B12"/>
    <w:rsid w:val="009F3549"/>
    <w:rsid w:val="009F3D73"/>
    <w:rsid w:val="009F4062"/>
    <w:rsid w:val="009F4085"/>
    <w:rsid w:val="009F4228"/>
    <w:rsid w:val="009F4348"/>
    <w:rsid w:val="009F4537"/>
    <w:rsid w:val="009F4602"/>
    <w:rsid w:val="009F4B05"/>
    <w:rsid w:val="009F4EE3"/>
    <w:rsid w:val="009F5A38"/>
    <w:rsid w:val="009F5B18"/>
    <w:rsid w:val="009F5B50"/>
    <w:rsid w:val="009F5CF7"/>
    <w:rsid w:val="009F5E2F"/>
    <w:rsid w:val="009F5E3C"/>
    <w:rsid w:val="009F604C"/>
    <w:rsid w:val="009F61F2"/>
    <w:rsid w:val="009F6CE7"/>
    <w:rsid w:val="009F7048"/>
    <w:rsid w:val="009F70F5"/>
    <w:rsid w:val="009F7C0A"/>
    <w:rsid w:val="009F7E4D"/>
    <w:rsid w:val="00A00095"/>
    <w:rsid w:val="00A002B7"/>
    <w:rsid w:val="00A0037E"/>
    <w:rsid w:val="00A0079B"/>
    <w:rsid w:val="00A0089E"/>
    <w:rsid w:val="00A00D16"/>
    <w:rsid w:val="00A01CDE"/>
    <w:rsid w:val="00A01FB0"/>
    <w:rsid w:val="00A02CA6"/>
    <w:rsid w:val="00A02DF9"/>
    <w:rsid w:val="00A03104"/>
    <w:rsid w:val="00A031D0"/>
    <w:rsid w:val="00A03430"/>
    <w:rsid w:val="00A03892"/>
    <w:rsid w:val="00A03F7C"/>
    <w:rsid w:val="00A04414"/>
    <w:rsid w:val="00A04419"/>
    <w:rsid w:val="00A0467A"/>
    <w:rsid w:val="00A0475A"/>
    <w:rsid w:val="00A0496E"/>
    <w:rsid w:val="00A04D82"/>
    <w:rsid w:val="00A04DE0"/>
    <w:rsid w:val="00A056C5"/>
    <w:rsid w:val="00A05E4D"/>
    <w:rsid w:val="00A063CD"/>
    <w:rsid w:val="00A06A97"/>
    <w:rsid w:val="00A06B67"/>
    <w:rsid w:val="00A06DF0"/>
    <w:rsid w:val="00A06EA0"/>
    <w:rsid w:val="00A07711"/>
    <w:rsid w:val="00A07960"/>
    <w:rsid w:val="00A07D0C"/>
    <w:rsid w:val="00A101AD"/>
    <w:rsid w:val="00A10246"/>
    <w:rsid w:val="00A102BC"/>
    <w:rsid w:val="00A1044F"/>
    <w:rsid w:val="00A10506"/>
    <w:rsid w:val="00A10755"/>
    <w:rsid w:val="00A10814"/>
    <w:rsid w:val="00A10D7F"/>
    <w:rsid w:val="00A10EC9"/>
    <w:rsid w:val="00A10FE2"/>
    <w:rsid w:val="00A11A62"/>
    <w:rsid w:val="00A11C46"/>
    <w:rsid w:val="00A11C8A"/>
    <w:rsid w:val="00A11E43"/>
    <w:rsid w:val="00A121BC"/>
    <w:rsid w:val="00A12842"/>
    <w:rsid w:val="00A13173"/>
    <w:rsid w:val="00A138C6"/>
    <w:rsid w:val="00A141E0"/>
    <w:rsid w:val="00A14478"/>
    <w:rsid w:val="00A14DF9"/>
    <w:rsid w:val="00A14ECB"/>
    <w:rsid w:val="00A14F07"/>
    <w:rsid w:val="00A15567"/>
    <w:rsid w:val="00A1581E"/>
    <w:rsid w:val="00A15CBC"/>
    <w:rsid w:val="00A15E18"/>
    <w:rsid w:val="00A16806"/>
    <w:rsid w:val="00A169E3"/>
    <w:rsid w:val="00A17710"/>
    <w:rsid w:val="00A17B30"/>
    <w:rsid w:val="00A17BFA"/>
    <w:rsid w:val="00A17F9F"/>
    <w:rsid w:val="00A2027B"/>
    <w:rsid w:val="00A202E0"/>
    <w:rsid w:val="00A20435"/>
    <w:rsid w:val="00A20A20"/>
    <w:rsid w:val="00A20F0F"/>
    <w:rsid w:val="00A21161"/>
    <w:rsid w:val="00A2123D"/>
    <w:rsid w:val="00A214C3"/>
    <w:rsid w:val="00A215FA"/>
    <w:rsid w:val="00A218C7"/>
    <w:rsid w:val="00A21DFB"/>
    <w:rsid w:val="00A21F05"/>
    <w:rsid w:val="00A221D6"/>
    <w:rsid w:val="00A223E6"/>
    <w:rsid w:val="00A22493"/>
    <w:rsid w:val="00A22838"/>
    <w:rsid w:val="00A22C9B"/>
    <w:rsid w:val="00A2323D"/>
    <w:rsid w:val="00A237A2"/>
    <w:rsid w:val="00A2385A"/>
    <w:rsid w:val="00A23A35"/>
    <w:rsid w:val="00A23A78"/>
    <w:rsid w:val="00A23F6D"/>
    <w:rsid w:val="00A244C2"/>
    <w:rsid w:val="00A24559"/>
    <w:rsid w:val="00A24566"/>
    <w:rsid w:val="00A2459A"/>
    <w:rsid w:val="00A245E5"/>
    <w:rsid w:val="00A24A8F"/>
    <w:rsid w:val="00A24CB7"/>
    <w:rsid w:val="00A25124"/>
    <w:rsid w:val="00A25709"/>
    <w:rsid w:val="00A25821"/>
    <w:rsid w:val="00A25C3A"/>
    <w:rsid w:val="00A25E10"/>
    <w:rsid w:val="00A26018"/>
    <w:rsid w:val="00A260C4"/>
    <w:rsid w:val="00A26742"/>
    <w:rsid w:val="00A26C78"/>
    <w:rsid w:val="00A26DF9"/>
    <w:rsid w:val="00A26E0C"/>
    <w:rsid w:val="00A2717B"/>
    <w:rsid w:val="00A271B4"/>
    <w:rsid w:val="00A274A4"/>
    <w:rsid w:val="00A276C6"/>
    <w:rsid w:val="00A2782F"/>
    <w:rsid w:val="00A27EAC"/>
    <w:rsid w:val="00A27F4C"/>
    <w:rsid w:val="00A30986"/>
    <w:rsid w:val="00A30D29"/>
    <w:rsid w:val="00A30FE8"/>
    <w:rsid w:val="00A31012"/>
    <w:rsid w:val="00A3101A"/>
    <w:rsid w:val="00A3123B"/>
    <w:rsid w:val="00A31984"/>
    <w:rsid w:val="00A31E71"/>
    <w:rsid w:val="00A320C4"/>
    <w:rsid w:val="00A32503"/>
    <w:rsid w:val="00A32BC0"/>
    <w:rsid w:val="00A32C01"/>
    <w:rsid w:val="00A32D1A"/>
    <w:rsid w:val="00A32E28"/>
    <w:rsid w:val="00A32FC9"/>
    <w:rsid w:val="00A3319C"/>
    <w:rsid w:val="00A3325B"/>
    <w:rsid w:val="00A33528"/>
    <w:rsid w:val="00A33820"/>
    <w:rsid w:val="00A33A89"/>
    <w:rsid w:val="00A33EE0"/>
    <w:rsid w:val="00A341D8"/>
    <w:rsid w:val="00A348FC"/>
    <w:rsid w:val="00A34F00"/>
    <w:rsid w:val="00A350C5"/>
    <w:rsid w:val="00A351BA"/>
    <w:rsid w:val="00A3581F"/>
    <w:rsid w:val="00A35C4E"/>
    <w:rsid w:val="00A362D6"/>
    <w:rsid w:val="00A36CB0"/>
    <w:rsid w:val="00A36D72"/>
    <w:rsid w:val="00A36F7C"/>
    <w:rsid w:val="00A36F87"/>
    <w:rsid w:val="00A37391"/>
    <w:rsid w:val="00A3757E"/>
    <w:rsid w:val="00A375EA"/>
    <w:rsid w:val="00A40940"/>
    <w:rsid w:val="00A40A2B"/>
    <w:rsid w:val="00A40A8D"/>
    <w:rsid w:val="00A40D60"/>
    <w:rsid w:val="00A41250"/>
    <w:rsid w:val="00A41D4E"/>
    <w:rsid w:val="00A42317"/>
    <w:rsid w:val="00A42426"/>
    <w:rsid w:val="00A42530"/>
    <w:rsid w:val="00A42AC4"/>
    <w:rsid w:val="00A431B0"/>
    <w:rsid w:val="00A431C5"/>
    <w:rsid w:val="00A4346B"/>
    <w:rsid w:val="00A44299"/>
    <w:rsid w:val="00A445F7"/>
    <w:rsid w:val="00A446CC"/>
    <w:rsid w:val="00A44980"/>
    <w:rsid w:val="00A44C03"/>
    <w:rsid w:val="00A454C2"/>
    <w:rsid w:val="00A45CAF"/>
    <w:rsid w:val="00A45CBA"/>
    <w:rsid w:val="00A46299"/>
    <w:rsid w:val="00A46623"/>
    <w:rsid w:val="00A466B5"/>
    <w:rsid w:val="00A466C7"/>
    <w:rsid w:val="00A46808"/>
    <w:rsid w:val="00A46B7C"/>
    <w:rsid w:val="00A46DFD"/>
    <w:rsid w:val="00A46E24"/>
    <w:rsid w:val="00A4708E"/>
    <w:rsid w:val="00A4771A"/>
    <w:rsid w:val="00A47952"/>
    <w:rsid w:val="00A47C01"/>
    <w:rsid w:val="00A5031D"/>
    <w:rsid w:val="00A5072E"/>
    <w:rsid w:val="00A50912"/>
    <w:rsid w:val="00A515E5"/>
    <w:rsid w:val="00A51937"/>
    <w:rsid w:val="00A51953"/>
    <w:rsid w:val="00A5218C"/>
    <w:rsid w:val="00A522F4"/>
    <w:rsid w:val="00A5262A"/>
    <w:rsid w:val="00A526B9"/>
    <w:rsid w:val="00A52A8F"/>
    <w:rsid w:val="00A52C10"/>
    <w:rsid w:val="00A52E2C"/>
    <w:rsid w:val="00A5351E"/>
    <w:rsid w:val="00A537D9"/>
    <w:rsid w:val="00A53A2F"/>
    <w:rsid w:val="00A54A5B"/>
    <w:rsid w:val="00A54A61"/>
    <w:rsid w:val="00A54C1D"/>
    <w:rsid w:val="00A54DB0"/>
    <w:rsid w:val="00A55681"/>
    <w:rsid w:val="00A5568B"/>
    <w:rsid w:val="00A556A8"/>
    <w:rsid w:val="00A56309"/>
    <w:rsid w:val="00A564B1"/>
    <w:rsid w:val="00A5681A"/>
    <w:rsid w:val="00A5699E"/>
    <w:rsid w:val="00A569F7"/>
    <w:rsid w:val="00A56A19"/>
    <w:rsid w:val="00A56CAA"/>
    <w:rsid w:val="00A5714C"/>
    <w:rsid w:val="00A57194"/>
    <w:rsid w:val="00A57330"/>
    <w:rsid w:val="00A5754E"/>
    <w:rsid w:val="00A5764F"/>
    <w:rsid w:val="00A57A06"/>
    <w:rsid w:val="00A57B84"/>
    <w:rsid w:val="00A57FAB"/>
    <w:rsid w:val="00A57FC6"/>
    <w:rsid w:val="00A601B8"/>
    <w:rsid w:val="00A601CC"/>
    <w:rsid w:val="00A607C0"/>
    <w:rsid w:val="00A60944"/>
    <w:rsid w:val="00A60A90"/>
    <w:rsid w:val="00A60B37"/>
    <w:rsid w:val="00A60B84"/>
    <w:rsid w:val="00A61C3C"/>
    <w:rsid w:val="00A62204"/>
    <w:rsid w:val="00A62243"/>
    <w:rsid w:val="00A62448"/>
    <w:rsid w:val="00A6265E"/>
    <w:rsid w:val="00A6280A"/>
    <w:rsid w:val="00A62A46"/>
    <w:rsid w:val="00A6343B"/>
    <w:rsid w:val="00A63879"/>
    <w:rsid w:val="00A6393E"/>
    <w:rsid w:val="00A640FF"/>
    <w:rsid w:val="00A6429C"/>
    <w:rsid w:val="00A647D5"/>
    <w:rsid w:val="00A64804"/>
    <w:rsid w:val="00A64BDD"/>
    <w:rsid w:val="00A650A8"/>
    <w:rsid w:val="00A65101"/>
    <w:rsid w:val="00A65240"/>
    <w:rsid w:val="00A656EF"/>
    <w:rsid w:val="00A65EA9"/>
    <w:rsid w:val="00A66095"/>
    <w:rsid w:val="00A6671A"/>
    <w:rsid w:val="00A66739"/>
    <w:rsid w:val="00A66B42"/>
    <w:rsid w:val="00A66B63"/>
    <w:rsid w:val="00A66E33"/>
    <w:rsid w:val="00A6709E"/>
    <w:rsid w:val="00A67FD5"/>
    <w:rsid w:val="00A70320"/>
    <w:rsid w:val="00A7044F"/>
    <w:rsid w:val="00A70838"/>
    <w:rsid w:val="00A70A5C"/>
    <w:rsid w:val="00A711AC"/>
    <w:rsid w:val="00A7198A"/>
    <w:rsid w:val="00A71A1F"/>
    <w:rsid w:val="00A71E3C"/>
    <w:rsid w:val="00A72222"/>
    <w:rsid w:val="00A7234A"/>
    <w:rsid w:val="00A72564"/>
    <w:rsid w:val="00A7265C"/>
    <w:rsid w:val="00A726F0"/>
    <w:rsid w:val="00A72980"/>
    <w:rsid w:val="00A729E4"/>
    <w:rsid w:val="00A72B14"/>
    <w:rsid w:val="00A73093"/>
    <w:rsid w:val="00A73261"/>
    <w:rsid w:val="00A732EE"/>
    <w:rsid w:val="00A7357C"/>
    <w:rsid w:val="00A73E9E"/>
    <w:rsid w:val="00A74173"/>
    <w:rsid w:val="00A7418F"/>
    <w:rsid w:val="00A74632"/>
    <w:rsid w:val="00A746F4"/>
    <w:rsid w:val="00A74845"/>
    <w:rsid w:val="00A74B6C"/>
    <w:rsid w:val="00A74D9E"/>
    <w:rsid w:val="00A74F95"/>
    <w:rsid w:val="00A74FA2"/>
    <w:rsid w:val="00A7582C"/>
    <w:rsid w:val="00A75B2F"/>
    <w:rsid w:val="00A75D41"/>
    <w:rsid w:val="00A760B9"/>
    <w:rsid w:val="00A760DA"/>
    <w:rsid w:val="00A7611D"/>
    <w:rsid w:val="00A76B32"/>
    <w:rsid w:val="00A76F76"/>
    <w:rsid w:val="00A7772A"/>
    <w:rsid w:val="00A77890"/>
    <w:rsid w:val="00A802AB"/>
    <w:rsid w:val="00A802FB"/>
    <w:rsid w:val="00A8030D"/>
    <w:rsid w:val="00A80871"/>
    <w:rsid w:val="00A80BD7"/>
    <w:rsid w:val="00A80D00"/>
    <w:rsid w:val="00A81232"/>
    <w:rsid w:val="00A8123C"/>
    <w:rsid w:val="00A81453"/>
    <w:rsid w:val="00A815A0"/>
    <w:rsid w:val="00A81757"/>
    <w:rsid w:val="00A81CBE"/>
    <w:rsid w:val="00A822D6"/>
    <w:rsid w:val="00A827BB"/>
    <w:rsid w:val="00A82CFD"/>
    <w:rsid w:val="00A82DC5"/>
    <w:rsid w:val="00A8302B"/>
    <w:rsid w:val="00A83443"/>
    <w:rsid w:val="00A834A9"/>
    <w:rsid w:val="00A83B38"/>
    <w:rsid w:val="00A83C2A"/>
    <w:rsid w:val="00A83E94"/>
    <w:rsid w:val="00A84666"/>
    <w:rsid w:val="00A846DD"/>
    <w:rsid w:val="00A846E6"/>
    <w:rsid w:val="00A8483A"/>
    <w:rsid w:val="00A849E4"/>
    <w:rsid w:val="00A84A15"/>
    <w:rsid w:val="00A84C59"/>
    <w:rsid w:val="00A84C73"/>
    <w:rsid w:val="00A84C93"/>
    <w:rsid w:val="00A85371"/>
    <w:rsid w:val="00A8563D"/>
    <w:rsid w:val="00A857CA"/>
    <w:rsid w:val="00A85CD1"/>
    <w:rsid w:val="00A85E19"/>
    <w:rsid w:val="00A861ED"/>
    <w:rsid w:val="00A86295"/>
    <w:rsid w:val="00A87063"/>
    <w:rsid w:val="00A8759E"/>
    <w:rsid w:val="00A87A35"/>
    <w:rsid w:val="00A87B4F"/>
    <w:rsid w:val="00A9006A"/>
    <w:rsid w:val="00A9023C"/>
    <w:rsid w:val="00A902F2"/>
    <w:rsid w:val="00A90386"/>
    <w:rsid w:val="00A90407"/>
    <w:rsid w:val="00A90512"/>
    <w:rsid w:val="00A905C9"/>
    <w:rsid w:val="00A906B4"/>
    <w:rsid w:val="00A90A88"/>
    <w:rsid w:val="00A9125D"/>
    <w:rsid w:val="00A9167C"/>
    <w:rsid w:val="00A916E1"/>
    <w:rsid w:val="00A918BB"/>
    <w:rsid w:val="00A91C14"/>
    <w:rsid w:val="00A92122"/>
    <w:rsid w:val="00A924A7"/>
    <w:rsid w:val="00A92D1B"/>
    <w:rsid w:val="00A93201"/>
    <w:rsid w:val="00A9336A"/>
    <w:rsid w:val="00A939BE"/>
    <w:rsid w:val="00A93C8A"/>
    <w:rsid w:val="00A93FAB"/>
    <w:rsid w:val="00A9407C"/>
    <w:rsid w:val="00A94230"/>
    <w:rsid w:val="00A94491"/>
    <w:rsid w:val="00A9499F"/>
    <w:rsid w:val="00A94F6F"/>
    <w:rsid w:val="00A9526D"/>
    <w:rsid w:val="00A957BD"/>
    <w:rsid w:val="00A95CAD"/>
    <w:rsid w:val="00A963F8"/>
    <w:rsid w:val="00A965A3"/>
    <w:rsid w:val="00A965BB"/>
    <w:rsid w:val="00A9689D"/>
    <w:rsid w:val="00A96B83"/>
    <w:rsid w:val="00A96ED8"/>
    <w:rsid w:val="00A978FC"/>
    <w:rsid w:val="00A97A63"/>
    <w:rsid w:val="00A97AD9"/>
    <w:rsid w:val="00A97B0F"/>
    <w:rsid w:val="00A97EC5"/>
    <w:rsid w:val="00A97FF3"/>
    <w:rsid w:val="00AA0256"/>
    <w:rsid w:val="00AA02BD"/>
    <w:rsid w:val="00AA04C9"/>
    <w:rsid w:val="00AA088C"/>
    <w:rsid w:val="00AA09D9"/>
    <w:rsid w:val="00AA0C6E"/>
    <w:rsid w:val="00AA109D"/>
    <w:rsid w:val="00AA110F"/>
    <w:rsid w:val="00AA15A9"/>
    <w:rsid w:val="00AA1816"/>
    <w:rsid w:val="00AA22A2"/>
    <w:rsid w:val="00AA242A"/>
    <w:rsid w:val="00AA2498"/>
    <w:rsid w:val="00AA25C7"/>
    <w:rsid w:val="00AA28B0"/>
    <w:rsid w:val="00AA2A62"/>
    <w:rsid w:val="00AA2B10"/>
    <w:rsid w:val="00AA2E18"/>
    <w:rsid w:val="00AA2F27"/>
    <w:rsid w:val="00AA3242"/>
    <w:rsid w:val="00AA3327"/>
    <w:rsid w:val="00AA36A8"/>
    <w:rsid w:val="00AA3CDF"/>
    <w:rsid w:val="00AA472B"/>
    <w:rsid w:val="00AA47D2"/>
    <w:rsid w:val="00AA4895"/>
    <w:rsid w:val="00AA49D6"/>
    <w:rsid w:val="00AA4A69"/>
    <w:rsid w:val="00AA4F5F"/>
    <w:rsid w:val="00AA53CC"/>
    <w:rsid w:val="00AA6010"/>
    <w:rsid w:val="00AA612D"/>
    <w:rsid w:val="00AA68A0"/>
    <w:rsid w:val="00AA69B6"/>
    <w:rsid w:val="00AA6F80"/>
    <w:rsid w:val="00AA7341"/>
    <w:rsid w:val="00AA7682"/>
    <w:rsid w:val="00AA768B"/>
    <w:rsid w:val="00AA777B"/>
    <w:rsid w:val="00AA78C5"/>
    <w:rsid w:val="00AA792C"/>
    <w:rsid w:val="00AA7D56"/>
    <w:rsid w:val="00AB07E2"/>
    <w:rsid w:val="00AB0AEA"/>
    <w:rsid w:val="00AB0C44"/>
    <w:rsid w:val="00AB0C45"/>
    <w:rsid w:val="00AB0C5C"/>
    <w:rsid w:val="00AB0DCE"/>
    <w:rsid w:val="00AB0DF4"/>
    <w:rsid w:val="00AB0E59"/>
    <w:rsid w:val="00AB1A45"/>
    <w:rsid w:val="00AB229F"/>
    <w:rsid w:val="00AB24F0"/>
    <w:rsid w:val="00AB29C9"/>
    <w:rsid w:val="00AB2F6C"/>
    <w:rsid w:val="00AB32BF"/>
    <w:rsid w:val="00AB36C9"/>
    <w:rsid w:val="00AB3774"/>
    <w:rsid w:val="00AB38A8"/>
    <w:rsid w:val="00AB4071"/>
    <w:rsid w:val="00AB41E5"/>
    <w:rsid w:val="00AB4708"/>
    <w:rsid w:val="00AB4A02"/>
    <w:rsid w:val="00AB4A4F"/>
    <w:rsid w:val="00AB505A"/>
    <w:rsid w:val="00AB51E7"/>
    <w:rsid w:val="00AB51F2"/>
    <w:rsid w:val="00AB53B1"/>
    <w:rsid w:val="00AB549A"/>
    <w:rsid w:val="00AB572A"/>
    <w:rsid w:val="00AB57C2"/>
    <w:rsid w:val="00AB59B3"/>
    <w:rsid w:val="00AB5BA7"/>
    <w:rsid w:val="00AB5C2B"/>
    <w:rsid w:val="00AB5D8C"/>
    <w:rsid w:val="00AB5E22"/>
    <w:rsid w:val="00AB622D"/>
    <w:rsid w:val="00AB6ABE"/>
    <w:rsid w:val="00AB6B44"/>
    <w:rsid w:val="00AB6E2B"/>
    <w:rsid w:val="00AB6ED7"/>
    <w:rsid w:val="00AB71E5"/>
    <w:rsid w:val="00AB748D"/>
    <w:rsid w:val="00AB7718"/>
    <w:rsid w:val="00AB7770"/>
    <w:rsid w:val="00AB7995"/>
    <w:rsid w:val="00AB7EE6"/>
    <w:rsid w:val="00AB7FC7"/>
    <w:rsid w:val="00AC038E"/>
    <w:rsid w:val="00AC09F2"/>
    <w:rsid w:val="00AC0BAE"/>
    <w:rsid w:val="00AC0CC0"/>
    <w:rsid w:val="00AC0D46"/>
    <w:rsid w:val="00AC0DA3"/>
    <w:rsid w:val="00AC1E10"/>
    <w:rsid w:val="00AC30B5"/>
    <w:rsid w:val="00AC3188"/>
    <w:rsid w:val="00AC31F7"/>
    <w:rsid w:val="00AC32B9"/>
    <w:rsid w:val="00AC3961"/>
    <w:rsid w:val="00AC3ACD"/>
    <w:rsid w:val="00AC3E87"/>
    <w:rsid w:val="00AC4239"/>
    <w:rsid w:val="00AC43AB"/>
    <w:rsid w:val="00AC43C6"/>
    <w:rsid w:val="00AC4541"/>
    <w:rsid w:val="00AC4A9B"/>
    <w:rsid w:val="00AC5499"/>
    <w:rsid w:val="00AC571C"/>
    <w:rsid w:val="00AC597E"/>
    <w:rsid w:val="00AC5987"/>
    <w:rsid w:val="00AC5D9C"/>
    <w:rsid w:val="00AC5F5C"/>
    <w:rsid w:val="00AC6208"/>
    <w:rsid w:val="00AC6519"/>
    <w:rsid w:val="00AC6584"/>
    <w:rsid w:val="00AC6760"/>
    <w:rsid w:val="00AC6839"/>
    <w:rsid w:val="00AC720B"/>
    <w:rsid w:val="00AC77C5"/>
    <w:rsid w:val="00AC7CD7"/>
    <w:rsid w:val="00AC7D0B"/>
    <w:rsid w:val="00AC7D69"/>
    <w:rsid w:val="00AD011F"/>
    <w:rsid w:val="00AD01C4"/>
    <w:rsid w:val="00AD025D"/>
    <w:rsid w:val="00AD0262"/>
    <w:rsid w:val="00AD03C2"/>
    <w:rsid w:val="00AD0793"/>
    <w:rsid w:val="00AD0862"/>
    <w:rsid w:val="00AD1077"/>
    <w:rsid w:val="00AD13C0"/>
    <w:rsid w:val="00AD1CCB"/>
    <w:rsid w:val="00AD1D12"/>
    <w:rsid w:val="00AD23D0"/>
    <w:rsid w:val="00AD2B2D"/>
    <w:rsid w:val="00AD2F73"/>
    <w:rsid w:val="00AD30A5"/>
    <w:rsid w:val="00AD3391"/>
    <w:rsid w:val="00AD348C"/>
    <w:rsid w:val="00AD3719"/>
    <w:rsid w:val="00AD3722"/>
    <w:rsid w:val="00AD38A6"/>
    <w:rsid w:val="00AD3BC7"/>
    <w:rsid w:val="00AD3C76"/>
    <w:rsid w:val="00AD4154"/>
    <w:rsid w:val="00AD42C6"/>
    <w:rsid w:val="00AD4818"/>
    <w:rsid w:val="00AD4BEB"/>
    <w:rsid w:val="00AD5084"/>
    <w:rsid w:val="00AD54D9"/>
    <w:rsid w:val="00AD5B7F"/>
    <w:rsid w:val="00AD6174"/>
    <w:rsid w:val="00AD66AB"/>
    <w:rsid w:val="00AD67BA"/>
    <w:rsid w:val="00AD6EC2"/>
    <w:rsid w:val="00AD7219"/>
    <w:rsid w:val="00AD7262"/>
    <w:rsid w:val="00AD77E0"/>
    <w:rsid w:val="00AD789B"/>
    <w:rsid w:val="00AD7B43"/>
    <w:rsid w:val="00AD7BC3"/>
    <w:rsid w:val="00AD7E4E"/>
    <w:rsid w:val="00AD7F5B"/>
    <w:rsid w:val="00AE0683"/>
    <w:rsid w:val="00AE0A5C"/>
    <w:rsid w:val="00AE0EA9"/>
    <w:rsid w:val="00AE1172"/>
    <w:rsid w:val="00AE1BE5"/>
    <w:rsid w:val="00AE1C30"/>
    <w:rsid w:val="00AE1CCC"/>
    <w:rsid w:val="00AE1FD2"/>
    <w:rsid w:val="00AE1FD8"/>
    <w:rsid w:val="00AE2106"/>
    <w:rsid w:val="00AE222C"/>
    <w:rsid w:val="00AE2236"/>
    <w:rsid w:val="00AE26E7"/>
    <w:rsid w:val="00AE2F2C"/>
    <w:rsid w:val="00AE2FEE"/>
    <w:rsid w:val="00AE3304"/>
    <w:rsid w:val="00AE34EE"/>
    <w:rsid w:val="00AE36A3"/>
    <w:rsid w:val="00AE44A4"/>
    <w:rsid w:val="00AE46F9"/>
    <w:rsid w:val="00AE49C6"/>
    <w:rsid w:val="00AE4B1E"/>
    <w:rsid w:val="00AE4BCF"/>
    <w:rsid w:val="00AE4C26"/>
    <w:rsid w:val="00AE4C72"/>
    <w:rsid w:val="00AE4E4A"/>
    <w:rsid w:val="00AE5141"/>
    <w:rsid w:val="00AE516B"/>
    <w:rsid w:val="00AE6162"/>
    <w:rsid w:val="00AE621F"/>
    <w:rsid w:val="00AE64A7"/>
    <w:rsid w:val="00AE671A"/>
    <w:rsid w:val="00AE768F"/>
    <w:rsid w:val="00AE79F8"/>
    <w:rsid w:val="00AE7B90"/>
    <w:rsid w:val="00AE7FBF"/>
    <w:rsid w:val="00AF00A0"/>
    <w:rsid w:val="00AF01EC"/>
    <w:rsid w:val="00AF0B16"/>
    <w:rsid w:val="00AF0D60"/>
    <w:rsid w:val="00AF0F4D"/>
    <w:rsid w:val="00AF1044"/>
    <w:rsid w:val="00AF157B"/>
    <w:rsid w:val="00AF15D7"/>
    <w:rsid w:val="00AF179C"/>
    <w:rsid w:val="00AF1E0F"/>
    <w:rsid w:val="00AF2204"/>
    <w:rsid w:val="00AF2384"/>
    <w:rsid w:val="00AF23F6"/>
    <w:rsid w:val="00AF2600"/>
    <w:rsid w:val="00AF2B53"/>
    <w:rsid w:val="00AF3089"/>
    <w:rsid w:val="00AF335F"/>
    <w:rsid w:val="00AF35B0"/>
    <w:rsid w:val="00AF38AC"/>
    <w:rsid w:val="00AF3A7F"/>
    <w:rsid w:val="00AF3C9C"/>
    <w:rsid w:val="00AF4EF7"/>
    <w:rsid w:val="00AF5A67"/>
    <w:rsid w:val="00AF5AA7"/>
    <w:rsid w:val="00AF5E2B"/>
    <w:rsid w:val="00AF5EC4"/>
    <w:rsid w:val="00AF5FE3"/>
    <w:rsid w:val="00AF6259"/>
    <w:rsid w:val="00AF644D"/>
    <w:rsid w:val="00AF66F7"/>
    <w:rsid w:val="00AF6B25"/>
    <w:rsid w:val="00AF6D2D"/>
    <w:rsid w:val="00AF6D8E"/>
    <w:rsid w:val="00AF717A"/>
    <w:rsid w:val="00AF77BB"/>
    <w:rsid w:val="00AF7956"/>
    <w:rsid w:val="00AF7AD8"/>
    <w:rsid w:val="00AF7B5F"/>
    <w:rsid w:val="00AF7D1D"/>
    <w:rsid w:val="00B0005F"/>
    <w:rsid w:val="00B0027D"/>
    <w:rsid w:val="00B003CD"/>
    <w:rsid w:val="00B0091C"/>
    <w:rsid w:val="00B00CEB"/>
    <w:rsid w:val="00B00D2E"/>
    <w:rsid w:val="00B00EC7"/>
    <w:rsid w:val="00B00FBA"/>
    <w:rsid w:val="00B010DD"/>
    <w:rsid w:val="00B012F3"/>
    <w:rsid w:val="00B01828"/>
    <w:rsid w:val="00B01B9F"/>
    <w:rsid w:val="00B022E5"/>
    <w:rsid w:val="00B02B33"/>
    <w:rsid w:val="00B034F1"/>
    <w:rsid w:val="00B0382C"/>
    <w:rsid w:val="00B038AF"/>
    <w:rsid w:val="00B03C3F"/>
    <w:rsid w:val="00B03D39"/>
    <w:rsid w:val="00B03E6A"/>
    <w:rsid w:val="00B03EF9"/>
    <w:rsid w:val="00B04221"/>
    <w:rsid w:val="00B0427D"/>
    <w:rsid w:val="00B044D4"/>
    <w:rsid w:val="00B0466F"/>
    <w:rsid w:val="00B05591"/>
    <w:rsid w:val="00B05760"/>
    <w:rsid w:val="00B05946"/>
    <w:rsid w:val="00B059E0"/>
    <w:rsid w:val="00B05C30"/>
    <w:rsid w:val="00B05F62"/>
    <w:rsid w:val="00B05FAA"/>
    <w:rsid w:val="00B06638"/>
    <w:rsid w:val="00B07128"/>
    <w:rsid w:val="00B074DB"/>
    <w:rsid w:val="00B075FC"/>
    <w:rsid w:val="00B0789F"/>
    <w:rsid w:val="00B07A99"/>
    <w:rsid w:val="00B07E09"/>
    <w:rsid w:val="00B100CB"/>
    <w:rsid w:val="00B108F2"/>
    <w:rsid w:val="00B10A14"/>
    <w:rsid w:val="00B10CBC"/>
    <w:rsid w:val="00B11342"/>
    <w:rsid w:val="00B1135D"/>
    <w:rsid w:val="00B11CE9"/>
    <w:rsid w:val="00B11E2E"/>
    <w:rsid w:val="00B12351"/>
    <w:rsid w:val="00B1241D"/>
    <w:rsid w:val="00B1273F"/>
    <w:rsid w:val="00B12F5D"/>
    <w:rsid w:val="00B1313F"/>
    <w:rsid w:val="00B13297"/>
    <w:rsid w:val="00B135D4"/>
    <w:rsid w:val="00B1360B"/>
    <w:rsid w:val="00B13D46"/>
    <w:rsid w:val="00B13FCB"/>
    <w:rsid w:val="00B14181"/>
    <w:rsid w:val="00B147DB"/>
    <w:rsid w:val="00B14B38"/>
    <w:rsid w:val="00B14D13"/>
    <w:rsid w:val="00B14F98"/>
    <w:rsid w:val="00B15195"/>
    <w:rsid w:val="00B151E7"/>
    <w:rsid w:val="00B1521A"/>
    <w:rsid w:val="00B1559E"/>
    <w:rsid w:val="00B1580A"/>
    <w:rsid w:val="00B159AD"/>
    <w:rsid w:val="00B159D5"/>
    <w:rsid w:val="00B15B34"/>
    <w:rsid w:val="00B160A4"/>
    <w:rsid w:val="00B16416"/>
    <w:rsid w:val="00B168A6"/>
    <w:rsid w:val="00B16CA4"/>
    <w:rsid w:val="00B1701F"/>
    <w:rsid w:val="00B172C9"/>
    <w:rsid w:val="00B173FA"/>
    <w:rsid w:val="00B17721"/>
    <w:rsid w:val="00B1784F"/>
    <w:rsid w:val="00B178A6"/>
    <w:rsid w:val="00B17DA8"/>
    <w:rsid w:val="00B202D5"/>
    <w:rsid w:val="00B208B3"/>
    <w:rsid w:val="00B2098F"/>
    <w:rsid w:val="00B20DFF"/>
    <w:rsid w:val="00B21635"/>
    <w:rsid w:val="00B2185E"/>
    <w:rsid w:val="00B2189B"/>
    <w:rsid w:val="00B21CCE"/>
    <w:rsid w:val="00B21FDE"/>
    <w:rsid w:val="00B221FE"/>
    <w:rsid w:val="00B22487"/>
    <w:rsid w:val="00B2256C"/>
    <w:rsid w:val="00B2284A"/>
    <w:rsid w:val="00B22895"/>
    <w:rsid w:val="00B22B1A"/>
    <w:rsid w:val="00B22DA5"/>
    <w:rsid w:val="00B23768"/>
    <w:rsid w:val="00B23C7C"/>
    <w:rsid w:val="00B23CE0"/>
    <w:rsid w:val="00B24455"/>
    <w:rsid w:val="00B24907"/>
    <w:rsid w:val="00B24D57"/>
    <w:rsid w:val="00B24F26"/>
    <w:rsid w:val="00B252A3"/>
    <w:rsid w:val="00B256B8"/>
    <w:rsid w:val="00B257F9"/>
    <w:rsid w:val="00B25D47"/>
    <w:rsid w:val="00B25EB0"/>
    <w:rsid w:val="00B25EDD"/>
    <w:rsid w:val="00B26584"/>
    <w:rsid w:val="00B26A14"/>
    <w:rsid w:val="00B26ED8"/>
    <w:rsid w:val="00B271B5"/>
    <w:rsid w:val="00B277A4"/>
    <w:rsid w:val="00B27BBC"/>
    <w:rsid w:val="00B27DBC"/>
    <w:rsid w:val="00B30819"/>
    <w:rsid w:val="00B308D3"/>
    <w:rsid w:val="00B3096E"/>
    <w:rsid w:val="00B309EC"/>
    <w:rsid w:val="00B30BDA"/>
    <w:rsid w:val="00B30CF2"/>
    <w:rsid w:val="00B31AC0"/>
    <w:rsid w:val="00B31C59"/>
    <w:rsid w:val="00B31D05"/>
    <w:rsid w:val="00B31D4C"/>
    <w:rsid w:val="00B31E27"/>
    <w:rsid w:val="00B31E86"/>
    <w:rsid w:val="00B3213D"/>
    <w:rsid w:val="00B3217A"/>
    <w:rsid w:val="00B32300"/>
    <w:rsid w:val="00B323DA"/>
    <w:rsid w:val="00B32B5A"/>
    <w:rsid w:val="00B3365D"/>
    <w:rsid w:val="00B3372D"/>
    <w:rsid w:val="00B338A1"/>
    <w:rsid w:val="00B3390A"/>
    <w:rsid w:val="00B33B2F"/>
    <w:rsid w:val="00B347F2"/>
    <w:rsid w:val="00B34800"/>
    <w:rsid w:val="00B34985"/>
    <w:rsid w:val="00B35270"/>
    <w:rsid w:val="00B35285"/>
    <w:rsid w:val="00B35496"/>
    <w:rsid w:val="00B3563A"/>
    <w:rsid w:val="00B3578E"/>
    <w:rsid w:val="00B3607A"/>
    <w:rsid w:val="00B36200"/>
    <w:rsid w:val="00B364FC"/>
    <w:rsid w:val="00B366CF"/>
    <w:rsid w:val="00B36B53"/>
    <w:rsid w:val="00B36DE1"/>
    <w:rsid w:val="00B36F59"/>
    <w:rsid w:val="00B370AB"/>
    <w:rsid w:val="00B371A8"/>
    <w:rsid w:val="00B37449"/>
    <w:rsid w:val="00B37725"/>
    <w:rsid w:val="00B379D1"/>
    <w:rsid w:val="00B37ED3"/>
    <w:rsid w:val="00B40078"/>
    <w:rsid w:val="00B401AD"/>
    <w:rsid w:val="00B401DF"/>
    <w:rsid w:val="00B404AF"/>
    <w:rsid w:val="00B40707"/>
    <w:rsid w:val="00B40A8F"/>
    <w:rsid w:val="00B40F29"/>
    <w:rsid w:val="00B413CA"/>
    <w:rsid w:val="00B4151D"/>
    <w:rsid w:val="00B41580"/>
    <w:rsid w:val="00B415FA"/>
    <w:rsid w:val="00B417D8"/>
    <w:rsid w:val="00B4189D"/>
    <w:rsid w:val="00B419B4"/>
    <w:rsid w:val="00B41A26"/>
    <w:rsid w:val="00B41CDD"/>
    <w:rsid w:val="00B41F55"/>
    <w:rsid w:val="00B4238A"/>
    <w:rsid w:val="00B4243D"/>
    <w:rsid w:val="00B426FD"/>
    <w:rsid w:val="00B427D5"/>
    <w:rsid w:val="00B42BC3"/>
    <w:rsid w:val="00B42E25"/>
    <w:rsid w:val="00B43108"/>
    <w:rsid w:val="00B43652"/>
    <w:rsid w:val="00B43682"/>
    <w:rsid w:val="00B43954"/>
    <w:rsid w:val="00B43B36"/>
    <w:rsid w:val="00B43BAA"/>
    <w:rsid w:val="00B451DE"/>
    <w:rsid w:val="00B4596A"/>
    <w:rsid w:val="00B45AA3"/>
    <w:rsid w:val="00B464D5"/>
    <w:rsid w:val="00B46688"/>
    <w:rsid w:val="00B46829"/>
    <w:rsid w:val="00B46925"/>
    <w:rsid w:val="00B46A87"/>
    <w:rsid w:val="00B46E27"/>
    <w:rsid w:val="00B4717F"/>
    <w:rsid w:val="00B47360"/>
    <w:rsid w:val="00B47401"/>
    <w:rsid w:val="00B4747A"/>
    <w:rsid w:val="00B47569"/>
    <w:rsid w:val="00B47955"/>
    <w:rsid w:val="00B47BD0"/>
    <w:rsid w:val="00B502DD"/>
    <w:rsid w:val="00B50320"/>
    <w:rsid w:val="00B503E7"/>
    <w:rsid w:val="00B50AB8"/>
    <w:rsid w:val="00B51331"/>
    <w:rsid w:val="00B51610"/>
    <w:rsid w:val="00B51685"/>
    <w:rsid w:val="00B52111"/>
    <w:rsid w:val="00B5221C"/>
    <w:rsid w:val="00B52618"/>
    <w:rsid w:val="00B52825"/>
    <w:rsid w:val="00B52DB5"/>
    <w:rsid w:val="00B52FE7"/>
    <w:rsid w:val="00B5305C"/>
    <w:rsid w:val="00B531D8"/>
    <w:rsid w:val="00B532AD"/>
    <w:rsid w:val="00B53493"/>
    <w:rsid w:val="00B536EA"/>
    <w:rsid w:val="00B539E5"/>
    <w:rsid w:val="00B53A45"/>
    <w:rsid w:val="00B53C43"/>
    <w:rsid w:val="00B53C6A"/>
    <w:rsid w:val="00B53FE5"/>
    <w:rsid w:val="00B5400F"/>
    <w:rsid w:val="00B54DCE"/>
    <w:rsid w:val="00B54E14"/>
    <w:rsid w:val="00B55325"/>
    <w:rsid w:val="00B55779"/>
    <w:rsid w:val="00B55AA6"/>
    <w:rsid w:val="00B55D0D"/>
    <w:rsid w:val="00B55D18"/>
    <w:rsid w:val="00B55DC8"/>
    <w:rsid w:val="00B55E8C"/>
    <w:rsid w:val="00B569D5"/>
    <w:rsid w:val="00B56C2C"/>
    <w:rsid w:val="00B56CC8"/>
    <w:rsid w:val="00B56F29"/>
    <w:rsid w:val="00B571E7"/>
    <w:rsid w:val="00B5731D"/>
    <w:rsid w:val="00B577B4"/>
    <w:rsid w:val="00B57C97"/>
    <w:rsid w:val="00B57D67"/>
    <w:rsid w:val="00B57DF7"/>
    <w:rsid w:val="00B57F66"/>
    <w:rsid w:val="00B60051"/>
    <w:rsid w:val="00B601D0"/>
    <w:rsid w:val="00B601E9"/>
    <w:rsid w:val="00B60746"/>
    <w:rsid w:val="00B607FC"/>
    <w:rsid w:val="00B60913"/>
    <w:rsid w:val="00B609B1"/>
    <w:rsid w:val="00B60B28"/>
    <w:rsid w:val="00B60BE8"/>
    <w:rsid w:val="00B60CD1"/>
    <w:rsid w:val="00B60DBB"/>
    <w:rsid w:val="00B6142E"/>
    <w:rsid w:val="00B6167C"/>
    <w:rsid w:val="00B617C2"/>
    <w:rsid w:val="00B61A17"/>
    <w:rsid w:val="00B61AEC"/>
    <w:rsid w:val="00B61CFD"/>
    <w:rsid w:val="00B62228"/>
    <w:rsid w:val="00B623FA"/>
    <w:rsid w:val="00B626E7"/>
    <w:rsid w:val="00B62AA6"/>
    <w:rsid w:val="00B62DED"/>
    <w:rsid w:val="00B62E64"/>
    <w:rsid w:val="00B62F39"/>
    <w:rsid w:val="00B6343D"/>
    <w:rsid w:val="00B63CD3"/>
    <w:rsid w:val="00B63F2D"/>
    <w:rsid w:val="00B64B34"/>
    <w:rsid w:val="00B65281"/>
    <w:rsid w:val="00B65897"/>
    <w:rsid w:val="00B65A92"/>
    <w:rsid w:val="00B65AA8"/>
    <w:rsid w:val="00B65B0A"/>
    <w:rsid w:val="00B664D4"/>
    <w:rsid w:val="00B668FB"/>
    <w:rsid w:val="00B6695D"/>
    <w:rsid w:val="00B66E43"/>
    <w:rsid w:val="00B672C9"/>
    <w:rsid w:val="00B67AE3"/>
    <w:rsid w:val="00B67C94"/>
    <w:rsid w:val="00B67D2D"/>
    <w:rsid w:val="00B70447"/>
    <w:rsid w:val="00B708F0"/>
    <w:rsid w:val="00B70973"/>
    <w:rsid w:val="00B70A5B"/>
    <w:rsid w:val="00B70BA1"/>
    <w:rsid w:val="00B70E55"/>
    <w:rsid w:val="00B711BE"/>
    <w:rsid w:val="00B713BA"/>
    <w:rsid w:val="00B714D8"/>
    <w:rsid w:val="00B71B50"/>
    <w:rsid w:val="00B7213A"/>
    <w:rsid w:val="00B7223B"/>
    <w:rsid w:val="00B725EA"/>
    <w:rsid w:val="00B72CFA"/>
    <w:rsid w:val="00B72DCD"/>
    <w:rsid w:val="00B72EA8"/>
    <w:rsid w:val="00B730C6"/>
    <w:rsid w:val="00B730F3"/>
    <w:rsid w:val="00B7339B"/>
    <w:rsid w:val="00B734DC"/>
    <w:rsid w:val="00B73718"/>
    <w:rsid w:val="00B73921"/>
    <w:rsid w:val="00B73F15"/>
    <w:rsid w:val="00B74045"/>
    <w:rsid w:val="00B74242"/>
    <w:rsid w:val="00B747AE"/>
    <w:rsid w:val="00B748AC"/>
    <w:rsid w:val="00B74E4D"/>
    <w:rsid w:val="00B75225"/>
    <w:rsid w:val="00B753FB"/>
    <w:rsid w:val="00B75499"/>
    <w:rsid w:val="00B755BA"/>
    <w:rsid w:val="00B755EC"/>
    <w:rsid w:val="00B755F5"/>
    <w:rsid w:val="00B75834"/>
    <w:rsid w:val="00B75A1F"/>
    <w:rsid w:val="00B75DA7"/>
    <w:rsid w:val="00B75DC8"/>
    <w:rsid w:val="00B75FBE"/>
    <w:rsid w:val="00B76229"/>
    <w:rsid w:val="00B7641F"/>
    <w:rsid w:val="00B76448"/>
    <w:rsid w:val="00B76531"/>
    <w:rsid w:val="00B76B8E"/>
    <w:rsid w:val="00B76C34"/>
    <w:rsid w:val="00B77294"/>
    <w:rsid w:val="00B7785F"/>
    <w:rsid w:val="00B778E5"/>
    <w:rsid w:val="00B77B71"/>
    <w:rsid w:val="00B77E0D"/>
    <w:rsid w:val="00B77E25"/>
    <w:rsid w:val="00B800FA"/>
    <w:rsid w:val="00B8090E"/>
    <w:rsid w:val="00B80AEE"/>
    <w:rsid w:val="00B80B2C"/>
    <w:rsid w:val="00B819E2"/>
    <w:rsid w:val="00B8238F"/>
    <w:rsid w:val="00B8248A"/>
    <w:rsid w:val="00B826EF"/>
    <w:rsid w:val="00B827ED"/>
    <w:rsid w:val="00B82BBB"/>
    <w:rsid w:val="00B82CA8"/>
    <w:rsid w:val="00B82D1F"/>
    <w:rsid w:val="00B830AC"/>
    <w:rsid w:val="00B83357"/>
    <w:rsid w:val="00B83716"/>
    <w:rsid w:val="00B83AF7"/>
    <w:rsid w:val="00B83F30"/>
    <w:rsid w:val="00B84051"/>
    <w:rsid w:val="00B846DD"/>
    <w:rsid w:val="00B85235"/>
    <w:rsid w:val="00B8656A"/>
    <w:rsid w:val="00B86E35"/>
    <w:rsid w:val="00B8754A"/>
    <w:rsid w:val="00B875D5"/>
    <w:rsid w:val="00B8773D"/>
    <w:rsid w:val="00B9051E"/>
    <w:rsid w:val="00B9068C"/>
    <w:rsid w:val="00B908EF"/>
    <w:rsid w:val="00B9115A"/>
    <w:rsid w:val="00B91680"/>
    <w:rsid w:val="00B91904"/>
    <w:rsid w:val="00B91B61"/>
    <w:rsid w:val="00B92550"/>
    <w:rsid w:val="00B92A2E"/>
    <w:rsid w:val="00B92A98"/>
    <w:rsid w:val="00B92E22"/>
    <w:rsid w:val="00B9323E"/>
    <w:rsid w:val="00B932F0"/>
    <w:rsid w:val="00B93B3D"/>
    <w:rsid w:val="00B93C28"/>
    <w:rsid w:val="00B93CB2"/>
    <w:rsid w:val="00B9439F"/>
    <w:rsid w:val="00B945E3"/>
    <w:rsid w:val="00B945EB"/>
    <w:rsid w:val="00B94D63"/>
    <w:rsid w:val="00B94E90"/>
    <w:rsid w:val="00B95065"/>
    <w:rsid w:val="00B952D2"/>
    <w:rsid w:val="00B95393"/>
    <w:rsid w:val="00B9543F"/>
    <w:rsid w:val="00B956AF"/>
    <w:rsid w:val="00B956EF"/>
    <w:rsid w:val="00B95A04"/>
    <w:rsid w:val="00B95A99"/>
    <w:rsid w:val="00B95ABA"/>
    <w:rsid w:val="00B95B51"/>
    <w:rsid w:val="00B95F3F"/>
    <w:rsid w:val="00B95F64"/>
    <w:rsid w:val="00B9667F"/>
    <w:rsid w:val="00B96B30"/>
    <w:rsid w:val="00B96FD6"/>
    <w:rsid w:val="00B978D1"/>
    <w:rsid w:val="00B97A9D"/>
    <w:rsid w:val="00BA00C5"/>
    <w:rsid w:val="00BA0952"/>
    <w:rsid w:val="00BA0D29"/>
    <w:rsid w:val="00BA0E40"/>
    <w:rsid w:val="00BA1117"/>
    <w:rsid w:val="00BA11C2"/>
    <w:rsid w:val="00BA14D0"/>
    <w:rsid w:val="00BA16A4"/>
    <w:rsid w:val="00BA16DA"/>
    <w:rsid w:val="00BA1BFE"/>
    <w:rsid w:val="00BA1D8E"/>
    <w:rsid w:val="00BA1E1E"/>
    <w:rsid w:val="00BA1EAF"/>
    <w:rsid w:val="00BA1ECA"/>
    <w:rsid w:val="00BA2722"/>
    <w:rsid w:val="00BA2768"/>
    <w:rsid w:val="00BA2DC0"/>
    <w:rsid w:val="00BA2E03"/>
    <w:rsid w:val="00BA3052"/>
    <w:rsid w:val="00BA30C5"/>
    <w:rsid w:val="00BA3547"/>
    <w:rsid w:val="00BA355F"/>
    <w:rsid w:val="00BA3B62"/>
    <w:rsid w:val="00BA3CBB"/>
    <w:rsid w:val="00BA446F"/>
    <w:rsid w:val="00BA45AE"/>
    <w:rsid w:val="00BA470C"/>
    <w:rsid w:val="00BA49B9"/>
    <w:rsid w:val="00BA4B6B"/>
    <w:rsid w:val="00BA4C22"/>
    <w:rsid w:val="00BA4CDB"/>
    <w:rsid w:val="00BA4CF6"/>
    <w:rsid w:val="00BA4F4A"/>
    <w:rsid w:val="00BA4F7E"/>
    <w:rsid w:val="00BA500B"/>
    <w:rsid w:val="00BA52E3"/>
    <w:rsid w:val="00BA53B5"/>
    <w:rsid w:val="00BA5434"/>
    <w:rsid w:val="00BA56AB"/>
    <w:rsid w:val="00BA5B0E"/>
    <w:rsid w:val="00BA5E19"/>
    <w:rsid w:val="00BA6314"/>
    <w:rsid w:val="00BA6323"/>
    <w:rsid w:val="00BA6372"/>
    <w:rsid w:val="00BA66AD"/>
    <w:rsid w:val="00BA68AA"/>
    <w:rsid w:val="00BA6DE9"/>
    <w:rsid w:val="00BA6E28"/>
    <w:rsid w:val="00BA7A4E"/>
    <w:rsid w:val="00BA7CDC"/>
    <w:rsid w:val="00BA7EA7"/>
    <w:rsid w:val="00BB0341"/>
    <w:rsid w:val="00BB035C"/>
    <w:rsid w:val="00BB0F64"/>
    <w:rsid w:val="00BB1713"/>
    <w:rsid w:val="00BB1828"/>
    <w:rsid w:val="00BB1840"/>
    <w:rsid w:val="00BB1AE6"/>
    <w:rsid w:val="00BB1F79"/>
    <w:rsid w:val="00BB2301"/>
    <w:rsid w:val="00BB27C5"/>
    <w:rsid w:val="00BB34C3"/>
    <w:rsid w:val="00BB36D5"/>
    <w:rsid w:val="00BB3D33"/>
    <w:rsid w:val="00BB3D74"/>
    <w:rsid w:val="00BB4B6F"/>
    <w:rsid w:val="00BB57A9"/>
    <w:rsid w:val="00BB5D3E"/>
    <w:rsid w:val="00BB5DC8"/>
    <w:rsid w:val="00BB61FA"/>
    <w:rsid w:val="00BB6263"/>
    <w:rsid w:val="00BB6728"/>
    <w:rsid w:val="00BB7208"/>
    <w:rsid w:val="00BB738A"/>
    <w:rsid w:val="00BB789C"/>
    <w:rsid w:val="00BB7B2A"/>
    <w:rsid w:val="00BB7D49"/>
    <w:rsid w:val="00BB7E72"/>
    <w:rsid w:val="00BC06C8"/>
    <w:rsid w:val="00BC0D26"/>
    <w:rsid w:val="00BC12CC"/>
    <w:rsid w:val="00BC1389"/>
    <w:rsid w:val="00BC16C4"/>
    <w:rsid w:val="00BC1A3B"/>
    <w:rsid w:val="00BC1DE9"/>
    <w:rsid w:val="00BC1DF9"/>
    <w:rsid w:val="00BC1F78"/>
    <w:rsid w:val="00BC20DC"/>
    <w:rsid w:val="00BC27BD"/>
    <w:rsid w:val="00BC2CFD"/>
    <w:rsid w:val="00BC2DD3"/>
    <w:rsid w:val="00BC2FB1"/>
    <w:rsid w:val="00BC305E"/>
    <w:rsid w:val="00BC324F"/>
    <w:rsid w:val="00BC377C"/>
    <w:rsid w:val="00BC3C77"/>
    <w:rsid w:val="00BC3F41"/>
    <w:rsid w:val="00BC463D"/>
    <w:rsid w:val="00BC48B7"/>
    <w:rsid w:val="00BC49E1"/>
    <w:rsid w:val="00BC4BA3"/>
    <w:rsid w:val="00BC4F42"/>
    <w:rsid w:val="00BC52E9"/>
    <w:rsid w:val="00BC55E2"/>
    <w:rsid w:val="00BC5660"/>
    <w:rsid w:val="00BC5AB8"/>
    <w:rsid w:val="00BC5F83"/>
    <w:rsid w:val="00BC6063"/>
    <w:rsid w:val="00BC67B1"/>
    <w:rsid w:val="00BC6E47"/>
    <w:rsid w:val="00BC708B"/>
    <w:rsid w:val="00BC70FE"/>
    <w:rsid w:val="00BC7451"/>
    <w:rsid w:val="00BC7457"/>
    <w:rsid w:val="00BC75D9"/>
    <w:rsid w:val="00BC7F57"/>
    <w:rsid w:val="00BD020C"/>
    <w:rsid w:val="00BD0662"/>
    <w:rsid w:val="00BD130D"/>
    <w:rsid w:val="00BD1557"/>
    <w:rsid w:val="00BD16FF"/>
    <w:rsid w:val="00BD184E"/>
    <w:rsid w:val="00BD18D4"/>
    <w:rsid w:val="00BD1D0F"/>
    <w:rsid w:val="00BD1E45"/>
    <w:rsid w:val="00BD202F"/>
    <w:rsid w:val="00BD218F"/>
    <w:rsid w:val="00BD229A"/>
    <w:rsid w:val="00BD2381"/>
    <w:rsid w:val="00BD2993"/>
    <w:rsid w:val="00BD3549"/>
    <w:rsid w:val="00BD36F5"/>
    <w:rsid w:val="00BD3B0C"/>
    <w:rsid w:val="00BD3E28"/>
    <w:rsid w:val="00BD449D"/>
    <w:rsid w:val="00BD4C76"/>
    <w:rsid w:val="00BD53C8"/>
    <w:rsid w:val="00BD5A59"/>
    <w:rsid w:val="00BD5CF8"/>
    <w:rsid w:val="00BD5E69"/>
    <w:rsid w:val="00BD604C"/>
    <w:rsid w:val="00BD6371"/>
    <w:rsid w:val="00BD668C"/>
    <w:rsid w:val="00BD70EE"/>
    <w:rsid w:val="00BD71C3"/>
    <w:rsid w:val="00BD72B0"/>
    <w:rsid w:val="00BD77C8"/>
    <w:rsid w:val="00BD78E5"/>
    <w:rsid w:val="00BD7F83"/>
    <w:rsid w:val="00BE00E7"/>
    <w:rsid w:val="00BE0164"/>
    <w:rsid w:val="00BE0F2B"/>
    <w:rsid w:val="00BE1274"/>
    <w:rsid w:val="00BE12B0"/>
    <w:rsid w:val="00BE1B4A"/>
    <w:rsid w:val="00BE1C2B"/>
    <w:rsid w:val="00BE1C45"/>
    <w:rsid w:val="00BE2581"/>
    <w:rsid w:val="00BE2A5C"/>
    <w:rsid w:val="00BE2CFE"/>
    <w:rsid w:val="00BE2EA2"/>
    <w:rsid w:val="00BE2FB1"/>
    <w:rsid w:val="00BE31EC"/>
    <w:rsid w:val="00BE32AE"/>
    <w:rsid w:val="00BE382E"/>
    <w:rsid w:val="00BE39B1"/>
    <w:rsid w:val="00BE3A26"/>
    <w:rsid w:val="00BE3BA3"/>
    <w:rsid w:val="00BE3C1A"/>
    <w:rsid w:val="00BE3F8C"/>
    <w:rsid w:val="00BE4482"/>
    <w:rsid w:val="00BE4559"/>
    <w:rsid w:val="00BE466B"/>
    <w:rsid w:val="00BE4F94"/>
    <w:rsid w:val="00BE5216"/>
    <w:rsid w:val="00BE5606"/>
    <w:rsid w:val="00BE571F"/>
    <w:rsid w:val="00BE5F8C"/>
    <w:rsid w:val="00BE66AB"/>
    <w:rsid w:val="00BE684C"/>
    <w:rsid w:val="00BE6907"/>
    <w:rsid w:val="00BE6C68"/>
    <w:rsid w:val="00BE6F09"/>
    <w:rsid w:val="00BE6F51"/>
    <w:rsid w:val="00BE77CB"/>
    <w:rsid w:val="00BE785D"/>
    <w:rsid w:val="00BF0418"/>
    <w:rsid w:val="00BF0B26"/>
    <w:rsid w:val="00BF1042"/>
    <w:rsid w:val="00BF16BA"/>
    <w:rsid w:val="00BF1F87"/>
    <w:rsid w:val="00BF22F4"/>
    <w:rsid w:val="00BF2331"/>
    <w:rsid w:val="00BF247C"/>
    <w:rsid w:val="00BF2C53"/>
    <w:rsid w:val="00BF333A"/>
    <w:rsid w:val="00BF36D4"/>
    <w:rsid w:val="00BF37E0"/>
    <w:rsid w:val="00BF43BF"/>
    <w:rsid w:val="00BF4E4E"/>
    <w:rsid w:val="00BF4F08"/>
    <w:rsid w:val="00BF5959"/>
    <w:rsid w:val="00BF5D43"/>
    <w:rsid w:val="00BF615E"/>
    <w:rsid w:val="00BF61EC"/>
    <w:rsid w:val="00BF6437"/>
    <w:rsid w:val="00BF6602"/>
    <w:rsid w:val="00BF66B6"/>
    <w:rsid w:val="00BF68D9"/>
    <w:rsid w:val="00BF6948"/>
    <w:rsid w:val="00BF6D89"/>
    <w:rsid w:val="00BF770A"/>
    <w:rsid w:val="00BF77A1"/>
    <w:rsid w:val="00BF7C65"/>
    <w:rsid w:val="00BF7F62"/>
    <w:rsid w:val="00BF7FF8"/>
    <w:rsid w:val="00C00032"/>
    <w:rsid w:val="00C000C3"/>
    <w:rsid w:val="00C00310"/>
    <w:rsid w:val="00C005A1"/>
    <w:rsid w:val="00C00760"/>
    <w:rsid w:val="00C011D4"/>
    <w:rsid w:val="00C015B3"/>
    <w:rsid w:val="00C015B4"/>
    <w:rsid w:val="00C017FE"/>
    <w:rsid w:val="00C01F33"/>
    <w:rsid w:val="00C024E6"/>
    <w:rsid w:val="00C027CB"/>
    <w:rsid w:val="00C02B98"/>
    <w:rsid w:val="00C02E60"/>
    <w:rsid w:val="00C03061"/>
    <w:rsid w:val="00C036B5"/>
    <w:rsid w:val="00C0374D"/>
    <w:rsid w:val="00C03C33"/>
    <w:rsid w:val="00C0445A"/>
    <w:rsid w:val="00C044A3"/>
    <w:rsid w:val="00C04E08"/>
    <w:rsid w:val="00C04FF2"/>
    <w:rsid w:val="00C0527D"/>
    <w:rsid w:val="00C05290"/>
    <w:rsid w:val="00C05414"/>
    <w:rsid w:val="00C05E07"/>
    <w:rsid w:val="00C05E13"/>
    <w:rsid w:val="00C0658C"/>
    <w:rsid w:val="00C066C2"/>
    <w:rsid w:val="00C066DE"/>
    <w:rsid w:val="00C06DD5"/>
    <w:rsid w:val="00C06F59"/>
    <w:rsid w:val="00C0736C"/>
    <w:rsid w:val="00C073F9"/>
    <w:rsid w:val="00C07601"/>
    <w:rsid w:val="00C07882"/>
    <w:rsid w:val="00C07D93"/>
    <w:rsid w:val="00C07F2A"/>
    <w:rsid w:val="00C1005D"/>
    <w:rsid w:val="00C101BA"/>
    <w:rsid w:val="00C10DE8"/>
    <w:rsid w:val="00C10FF2"/>
    <w:rsid w:val="00C11239"/>
    <w:rsid w:val="00C116AF"/>
    <w:rsid w:val="00C11838"/>
    <w:rsid w:val="00C11A39"/>
    <w:rsid w:val="00C11AD3"/>
    <w:rsid w:val="00C11C9A"/>
    <w:rsid w:val="00C11D45"/>
    <w:rsid w:val="00C12382"/>
    <w:rsid w:val="00C1240F"/>
    <w:rsid w:val="00C12780"/>
    <w:rsid w:val="00C12ECB"/>
    <w:rsid w:val="00C13240"/>
    <w:rsid w:val="00C1325A"/>
    <w:rsid w:val="00C13381"/>
    <w:rsid w:val="00C13E6D"/>
    <w:rsid w:val="00C13FB1"/>
    <w:rsid w:val="00C144CF"/>
    <w:rsid w:val="00C14CDC"/>
    <w:rsid w:val="00C14ED8"/>
    <w:rsid w:val="00C150C1"/>
    <w:rsid w:val="00C15159"/>
    <w:rsid w:val="00C154B6"/>
    <w:rsid w:val="00C15F23"/>
    <w:rsid w:val="00C1616B"/>
    <w:rsid w:val="00C16874"/>
    <w:rsid w:val="00C169D2"/>
    <w:rsid w:val="00C176AB"/>
    <w:rsid w:val="00C176F7"/>
    <w:rsid w:val="00C17A9A"/>
    <w:rsid w:val="00C17D16"/>
    <w:rsid w:val="00C17F82"/>
    <w:rsid w:val="00C20333"/>
    <w:rsid w:val="00C20574"/>
    <w:rsid w:val="00C20895"/>
    <w:rsid w:val="00C20C4E"/>
    <w:rsid w:val="00C20F76"/>
    <w:rsid w:val="00C2102A"/>
    <w:rsid w:val="00C2113D"/>
    <w:rsid w:val="00C214DB"/>
    <w:rsid w:val="00C215C2"/>
    <w:rsid w:val="00C21636"/>
    <w:rsid w:val="00C21898"/>
    <w:rsid w:val="00C21969"/>
    <w:rsid w:val="00C22105"/>
    <w:rsid w:val="00C2293F"/>
    <w:rsid w:val="00C229B8"/>
    <w:rsid w:val="00C22D23"/>
    <w:rsid w:val="00C22F5B"/>
    <w:rsid w:val="00C231E6"/>
    <w:rsid w:val="00C237EF"/>
    <w:rsid w:val="00C23B30"/>
    <w:rsid w:val="00C240FD"/>
    <w:rsid w:val="00C242AE"/>
    <w:rsid w:val="00C24327"/>
    <w:rsid w:val="00C24374"/>
    <w:rsid w:val="00C2495C"/>
    <w:rsid w:val="00C2499B"/>
    <w:rsid w:val="00C24FC7"/>
    <w:rsid w:val="00C25104"/>
    <w:rsid w:val="00C25602"/>
    <w:rsid w:val="00C256D0"/>
    <w:rsid w:val="00C25A17"/>
    <w:rsid w:val="00C25E2C"/>
    <w:rsid w:val="00C25E60"/>
    <w:rsid w:val="00C26031"/>
    <w:rsid w:val="00C26224"/>
    <w:rsid w:val="00C2630B"/>
    <w:rsid w:val="00C2691C"/>
    <w:rsid w:val="00C26DDC"/>
    <w:rsid w:val="00C26E81"/>
    <w:rsid w:val="00C270CD"/>
    <w:rsid w:val="00C27586"/>
    <w:rsid w:val="00C27940"/>
    <w:rsid w:val="00C302EF"/>
    <w:rsid w:val="00C307A5"/>
    <w:rsid w:val="00C30BFA"/>
    <w:rsid w:val="00C3171A"/>
    <w:rsid w:val="00C318E7"/>
    <w:rsid w:val="00C31946"/>
    <w:rsid w:val="00C31AF4"/>
    <w:rsid w:val="00C31D99"/>
    <w:rsid w:val="00C3237B"/>
    <w:rsid w:val="00C3262E"/>
    <w:rsid w:val="00C329A1"/>
    <w:rsid w:val="00C32A10"/>
    <w:rsid w:val="00C32B4B"/>
    <w:rsid w:val="00C32CEC"/>
    <w:rsid w:val="00C32D87"/>
    <w:rsid w:val="00C32ED8"/>
    <w:rsid w:val="00C32F13"/>
    <w:rsid w:val="00C32FBE"/>
    <w:rsid w:val="00C33083"/>
    <w:rsid w:val="00C334D7"/>
    <w:rsid w:val="00C343B1"/>
    <w:rsid w:val="00C34512"/>
    <w:rsid w:val="00C34647"/>
    <w:rsid w:val="00C347CE"/>
    <w:rsid w:val="00C34A12"/>
    <w:rsid w:val="00C34B70"/>
    <w:rsid w:val="00C34C7E"/>
    <w:rsid w:val="00C34DA5"/>
    <w:rsid w:val="00C34EC0"/>
    <w:rsid w:val="00C34ED8"/>
    <w:rsid w:val="00C352DB"/>
    <w:rsid w:val="00C3569A"/>
    <w:rsid w:val="00C356B9"/>
    <w:rsid w:val="00C361AD"/>
    <w:rsid w:val="00C362E8"/>
    <w:rsid w:val="00C36934"/>
    <w:rsid w:val="00C36BDA"/>
    <w:rsid w:val="00C36F72"/>
    <w:rsid w:val="00C3705E"/>
    <w:rsid w:val="00C3779B"/>
    <w:rsid w:val="00C37EEA"/>
    <w:rsid w:val="00C40131"/>
    <w:rsid w:val="00C401D1"/>
    <w:rsid w:val="00C4021E"/>
    <w:rsid w:val="00C40400"/>
    <w:rsid w:val="00C406E9"/>
    <w:rsid w:val="00C40713"/>
    <w:rsid w:val="00C40A99"/>
    <w:rsid w:val="00C40FC2"/>
    <w:rsid w:val="00C4103A"/>
    <w:rsid w:val="00C41DCE"/>
    <w:rsid w:val="00C42177"/>
    <w:rsid w:val="00C425DE"/>
    <w:rsid w:val="00C429C2"/>
    <w:rsid w:val="00C4357B"/>
    <w:rsid w:val="00C43611"/>
    <w:rsid w:val="00C43769"/>
    <w:rsid w:val="00C438C1"/>
    <w:rsid w:val="00C43BC8"/>
    <w:rsid w:val="00C43C2E"/>
    <w:rsid w:val="00C43ED6"/>
    <w:rsid w:val="00C4423A"/>
    <w:rsid w:val="00C44AC6"/>
    <w:rsid w:val="00C450AE"/>
    <w:rsid w:val="00C455DE"/>
    <w:rsid w:val="00C45C7D"/>
    <w:rsid w:val="00C45F9A"/>
    <w:rsid w:val="00C4607D"/>
    <w:rsid w:val="00C4689E"/>
    <w:rsid w:val="00C468A2"/>
    <w:rsid w:val="00C46907"/>
    <w:rsid w:val="00C46B04"/>
    <w:rsid w:val="00C46B48"/>
    <w:rsid w:val="00C46BF6"/>
    <w:rsid w:val="00C46D48"/>
    <w:rsid w:val="00C46DF5"/>
    <w:rsid w:val="00C46FAB"/>
    <w:rsid w:val="00C47916"/>
    <w:rsid w:val="00C47ECD"/>
    <w:rsid w:val="00C5054F"/>
    <w:rsid w:val="00C5079B"/>
    <w:rsid w:val="00C50FCD"/>
    <w:rsid w:val="00C512B7"/>
    <w:rsid w:val="00C5153A"/>
    <w:rsid w:val="00C517BE"/>
    <w:rsid w:val="00C51B32"/>
    <w:rsid w:val="00C51CDB"/>
    <w:rsid w:val="00C51D3E"/>
    <w:rsid w:val="00C51DC7"/>
    <w:rsid w:val="00C52531"/>
    <w:rsid w:val="00C52751"/>
    <w:rsid w:val="00C528E2"/>
    <w:rsid w:val="00C52EBE"/>
    <w:rsid w:val="00C53E4A"/>
    <w:rsid w:val="00C540EB"/>
    <w:rsid w:val="00C542F7"/>
    <w:rsid w:val="00C5431D"/>
    <w:rsid w:val="00C54462"/>
    <w:rsid w:val="00C5455E"/>
    <w:rsid w:val="00C54EFC"/>
    <w:rsid w:val="00C550C8"/>
    <w:rsid w:val="00C557A3"/>
    <w:rsid w:val="00C55AB1"/>
    <w:rsid w:val="00C55B4A"/>
    <w:rsid w:val="00C55B85"/>
    <w:rsid w:val="00C55D97"/>
    <w:rsid w:val="00C5610D"/>
    <w:rsid w:val="00C561C2"/>
    <w:rsid w:val="00C56216"/>
    <w:rsid w:val="00C563F4"/>
    <w:rsid w:val="00C5648F"/>
    <w:rsid w:val="00C56872"/>
    <w:rsid w:val="00C56917"/>
    <w:rsid w:val="00C56AF0"/>
    <w:rsid w:val="00C56EAA"/>
    <w:rsid w:val="00C57D3C"/>
    <w:rsid w:val="00C57EE1"/>
    <w:rsid w:val="00C57F6E"/>
    <w:rsid w:val="00C6016F"/>
    <w:rsid w:val="00C602B1"/>
    <w:rsid w:val="00C60321"/>
    <w:rsid w:val="00C609C7"/>
    <w:rsid w:val="00C60AB7"/>
    <w:rsid w:val="00C60D80"/>
    <w:rsid w:val="00C60EF1"/>
    <w:rsid w:val="00C61306"/>
    <w:rsid w:val="00C61EBB"/>
    <w:rsid w:val="00C6251E"/>
    <w:rsid w:val="00C626B5"/>
    <w:rsid w:val="00C62C9E"/>
    <w:rsid w:val="00C62D31"/>
    <w:rsid w:val="00C62E3B"/>
    <w:rsid w:val="00C6313E"/>
    <w:rsid w:val="00C6336E"/>
    <w:rsid w:val="00C6347F"/>
    <w:rsid w:val="00C63496"/>
    <w:rsid w:val="00C635A5"/>
    <w:rsid w:val="00C637F5"/>
    <w:rsid w:val="00C64476"/>
    <w:rsid w:val="00C64819"/>
    <w:rsid w:val="00C64CF1"/>
    <w:rsid w:val="00C64F99"/>
    <w:rsid w:val="00C64FAB"/>
    <w:rsid w:val="00C65083"/>
    <w:rsid w:val="00C65848"/>
    <w:rsid w:val="00C65D5F"/>
    <w:rsid w:val="00C65D82"/>
    <w:rsid w:val="00C65E12"/>
    <w:rsid w:val="00C6628A"/>
    <w:rsid w:val="00C67267"/>
    <w:rsid w:val="00C672BD"/>
    <w:rsid w:val="00C6761D"/>
    <w:rsid w:val="00C67746"/>
    <w:rsid w:val="00C708AE"/>
    <w:rsid w:val="00C70A03"/>
    <w:rsid w:val="00C70B0B"/>
    <w:rsid w:val="00C70C02"/>
    <w:rsid w:val="00C70D0B"/>
    <w:rsid w:val="00C7104C"/>
    <w:rsid w:val="00C71288"/>
    <w:rsid w:val="00C7175E"/>
    <w:rsid w:val="00C72019"/>
    <w:rsid w:val="00C723D3"/>
    <w:rsid w:val="00C724ED"/>
    <w:rsid w:val="00C72945"/>
    <w:rsid w:val="00C72DD4"/>
    <w:rsid w:val="00C7324A"/>
    <w:rsid w:val="00C73329"/>
    <w:rsid w:val="00C7362B"/>
    <w:rsid w:val="00C73807"/>
    <w:rsid w:val="00C74334"/>
    <w:rsid w:val="00C74A77"/>
    <w:rsid w:val="00C74A9B"/>
    <w:rsid w:val="00C74AA3"/>
    <w:rsid w:val="00C74B58"/>
    <w:rsid w:val="00C74C53"/>
    <w:rsid w:val="00C74F04"/>
    <w:rsid w:val="00C74FB4"/>
    <w:rsid w:val="00C753E2"/>
    <w:rsid w:val="00C7545D"/>
    <w:rsid w:val="00C757DC"/>
    <w:rsid w:val="00C75DFF"/>
    <w:rsid w:val="00C75E45"/>
    <w:rsid w:val="00C76089"/>
    <w:rsid w:val="00C760B3"/>
    <w:rsid w:val="00C760D8"/>
    <w:rsid w:val="00C762A4"/>
    <w:rsid w:val="00C76448"/>
    <w:rsid w:val="00C76CFE"/>
    <w:rsid w:val="00C777A9"/>
    <w:rsid w:val="00C779B1"/>
    <w:rsid w:val="00C808DA"/>
    <w:rsid w:val="00C815FC"/>
    <w:rsid w:val="00C8174C"/>
    <w:rsid w:val="00C817FD"/>
    <w:rsid w:val="00C819B0"/>
    <w:rsid w:val="00C819F4"/>
    <w:rsid w:val="00C827AF"/>
    <w:rsid w:val="00C829A5"/>
    <w:rsid w:val="00C82DAA"/>
    <w:rsid w:val="00C83029"/>
    <w:rsid w:val="00C8307E"/>
    <w:rsid w:val="00C83644"/>
    <w:rsid w:val="00C83932"/>
    <w:rsid w:val="00C83E98"/>
    <w:rsid w:val="00C83F81"/>
    <w:rsid w:val="00C841CE"/>
    <w:rsid w:val="00C84AD4"/>
    <w:rsid w:val="00C84B34"/>
    <w:rsid w:val="00C8553F"/>
    <w:rsid w:val="00C855F3"/>
    <w:rsid w:val="00C85BD7"/>
    <w:rsid w:val="00C85C58"/>
    <w:rsid w:val="00C85EA8"/>
    <w:rsid w:val="00C85F3E"/>
    <w:rsid w:val="00C863CE"/>
    <w:rsid w:val="00C86626"/>
    <w:rsid w:val="00C866AE"/>
    <w:rsid w:val="00C868F1"/>
    <w:rsid w:val="00C869E0"/>
    <w:rsid w:val="00C86CA4"/>
    <w:rsid w:val="00C86E2F"/>
    <w:rsid w:val="00C87129"/>
    <w:rsid w:val="00C875C5"/>
    <w:rsid w:val="00C8782A"/>
    <w:rsid w:val="00C87905"/>
    <w:rsid w:val="00C879D0"/>
    <w:rsid w:val="00C87B3D"/>
    <w:rsid w:val="00C87C47"/>
    <w:rsid w:val="00C87D2A"/>
    <w:rsid w:val="00C90136"/>
    <w:rsid w:val="00C90145"/>
    <w:rsid w:val="00C906D6"/>
    <w:rsid w:val="00C9096D"/>
    <w:rsid w:val="00C90BAC"/>
    <w:rsid w:val="00C90BAD"/>
    <w:rsid w:val="00C910B8"/>
    <w:rsid w:val="00C910C4"/>
    <w:rsid w:val="00C9121D"/>
    <w:rsid w:val="00C91282"/>
    <w:rsid w:val="00C91CB4"/>
    <w:rsid w:val="00C91CEF"/>
    <w:rsid w:val="00C9237D"/>
    <w:rsid w:val="00C92512"/>
    <w:rsid w:val="00C92D1C"/>
    <w:rsid w:val="00C93192"/>
    <w:rsid w:val="00C939B6"/>
    <w:rsid w:val="00C93E7A"/>
    <w:rsid w:val="00C94D84"/>
    <w:rsid w:val="00C951FD"/>
    <w:rsid w:val="00C95539"/>
    <w:rsid w:val="00C955A2"/>
    <w:rsid w:val="00C95A37"/>
    <w:rsid w:val="00C95AB7"/>
    <w:rsid w:val="00C9606D"/>
    <w:rsid w:val="00C968B9"/>
    <w:rsid w:val="00C96A67"/>
    <w:rsid w:val="00C96E75"/>
    <w:rsid w:val="00C96ED4"/>
    <w:rsid w:val="00C97431"/>
    <w:rsid w:val="00C97D23"/>
    <w:rsid w:val="00CA017B"/>
    <w:rsid w:val="00CA037E"/>
    <w:rsid w:val="00CA046E"/>
    <w:rsid w:val="00CA0746"/>
    <w:rsid w:val="00CA092E"/>
    <w:rsid w:val="00CA0AA0"/>
    <w:rsid w:val="00CA0E3C"/>
    <w:rsid w:val="00CA100C"/>
    <w:rsid w:val="00CA15FC"/>
    <w:rsid w:val="00CA1788"/>
    <w:rsid w:val="00CA1794"/>
    <w:rsid w:val="00CA217B"/>
    <w:rsid w:val="00CA2B62"/>
    <w:rsid w:val="00CA3065"/>
    <w:rsid w:val="00CA3586"/>
    <w:rsid w:val="00CA375D"/>
    <w:rsid w:val="00CA3CC1"/>
    <w:rsid w:val="00CA3D91"/>
    <w:rsid w:val="00CA414A"/>
    <w:rsid w:val="00CA4736"/>
    <w:rsid w:val="00CA485C"/>
    <w:rsid w:val="00CA502E"/>
    <w:rsid w:val="00CA555A"/>
    <w:rsid w:val="00CA5689"/>
    <w:rsid w:val="00CA56B5"/>
    <w:rsid w:val="00CA5735"/>
    <w:rsid w:val="00CA588A"/>
    <w:rsid w:val="00CA5DD7"/>
    <w:rsid w:val="00CA61D9"/>
    <w:rsid w:val="00CA65B2"/>
    <w:rsid w:val="00CA65D5"/>
    <w:rsid w:val="00CA69FB"/>
    <w:rsid w:val="00CA6A78"/>
    <w:rsid w:val="00CA6D38"/>
    <w:rsid w:val="00CA70F7"/>
    <w:rsid w:val="00CA72B0"/>
    <w:rsid w:val="00CA77E9"/>
    <w:rsid w:val="00CA791A"/>
    <w:rsid w:val="00CA792F"/>
    <w:rsid w:val="00CB018F"/>
    <w:rsid w:val="00CB0415"/>
    <w:rsid w:val="00CB0463"/>
    <w:rsid w:val="00CB0DA0"/>
    <w:rsid w:val="00CB0E96"/>
    <w:rsid w:val="00CB11D9"/>
    <w:rsid w:val="00CB11EA"/>
    <w:rsid w:val="00CB1273"/>
    <w:rsid w:val="00CB1653"/>
    <w:rsid w:val="00CB16B3"/>
    <w:rsid w:val="00CB1853"/>
    <w:rsid w:val="00CB20B2"/>
    <w:rsid w:val="00CB240E"/>
    <w:rsid w:val="00CB2984"/>
    <w:rsid w:val="00CB29E6"/>
    <w:rsid w:val="00CB2A4A"/>
    <w:rsid w:val="00CB2A74"/>
    <w:rsid w:val="00CB2B40"/>
    <w:rsid w:val="00CB33DE"/>
    <w:rsid w:val="00CB3D21"/>
    <w:rsid w:val="00CB3DE7"/>
    <w:rsid w:val="00CB4100"/>
    <w:rsid w:val="00CB47AA"/>
    <w:rsid w:val="00CB4843"/>
    <w:rsid w:val="00CB4A00"/>
    <w:rsid w:val="00CB55C6"/>
    <w:rsid w:val="00CB5C21"/>
    <w:rsid w:val="00CB5FD8"/>
    <w:rsid w:val="00CB5FDE"/>
    <w:rsid w:val="00CB6186"/>
    <w:rsid w:val="00CB65DB"/>
    <w:rsid w:val="00CB67DB"/>
    <w:rsid w:val="00CB685D"/>
    <w:rsid w:val="00CB6F9D"/>
    <w:rsid w:val="00CB722B"/>
    <w:rsid w:val="00CB7257"/>
    <w:rsid w:val="00CB73A9"/>
    <w:rsid w:val="00CB7708"/>
    <w:rsid w:val="00CB7CE6"/>
    <w:rsid w:val="00CB7EDB"/>
    <w:rsid w:val="00CC0017"/>
    <w:rsid w:val="00CC051C"/>
    <w:rsid w:val="00CC0E63"/>
    <w:rsid w:val="00CC0EEA"/>
    <w:rsid w:val="00CC113D"/>
    <w:rsid w:val="00CC17BA"/>
    <w:rsid w:val="00CC1A2C"/>
    <w:rsid w:val="00CC1DA3"/>
    <w:rsid w:val="00CC2118"/>
    <w:rsid w:val="00CC2453"/>
    <w:rsid w:val="00CC2C57"/>
    <w:rsid w:val="00CC3042"/>
    <w:rsid w:val="00CC31A3"/>
    <w:rsid w:val="00CC31D3"/>
    <w:rsid w:val="00CC32A9"/>
    <w:rsid w:val="00CC3550"/>
    <w:rsid w:val="00CC3688"/>
    <w:rsid w:val="00CC3C5B"/>
    <w:rsid w:val="00CC3CAC"/>
    <w:rsid w:val="00CC3CAE"/>
    <w:rsid w:val="00CC430E"/>
    <w:rsid w:val="00CC4D39"/>
    <w:rsid w:val="00CC4ED4"/>
    <w:rsid w:val="00CC515E"/>
    <w:rsid w:val="00CC52A3"/>
    <w:rsid w:val="00CC564D"/>
    <w:rsid w:val="00CC56B8"/>
    <w:rsid w:val="00CC5910"/>
    <w:rsid w:val="00CC5C7D"/>
    <w:rsid w:val="00CC620F"/>
    <w:rsid w:val="00CC6214"/>
    <w:rsid w:val="00CC6494"/>
    <w:rsid w:val="00CC6633"/>
    <w:rsid w:val="00CC6C58"/>
    <w:rsid w:val="00CC6CA1"/>
    <w:rsid w:val="00CC7ECC"/>
    <w:rsid w:val="00CD037D"/>
    <w:rsid w:val="00CD064D"/>
    <w:rsid w:val="00CD08E7"/>
    <w:rsid w:val="00CD0D5B"/>
    <w:rsid w:val="00CD16ED"/>
    <w:rsid w:val="00CD207A"/>
    <w:rsid w:val="00CD2F20"/>
    <w:rsid w:val="00CD2FAC"/>
    <w:rsid w:val="00CD331F"/>
    <w:rsid w:val="00CD33A4"/>
    <w:rsid w:val="00CD3674"/>
    <w:rsid w:val="00CD3CAA"/>
    <w:rsid w:val="00CD418C"/>
    <w:rsid w:val="00CD4591"/>
    <w:rsid w:val="00CD48C0"/>
    <w:rsid w:val="00CD4E01"/>
    <w:rsid w:val="00CD4E3A"/>
    <w:rsid w:val="00CD4F12"/>
    <w:rsid w:val="00CD5378"/>
    <w:rsid w:val="00CD54BC"/>
    <w:rsid w:val="00CD54CE"/>
    <w:rsid w:val="00CD56BD"/>
    <w:rsid w:val="00CD56DD"/>
    <w:rsid w:val="00CD5BAF"/>
    <w:rsid w:val="00CD5C98"/>
    <w:rsid w:val="00CD6571"/>
    <w:rsid w:val="00CD66B1"/>
    <w:rsid w:val="00CD67C7"/>
    <w:rsid w:val="00CD6B61"/>
    <w:rsid w:val="00CD70CD"/>
    <w:rsid w:val="00CD70DD"/>
    <w:rsid w:val="00CD7211"/>
    <w:rsid w:val="00CE0181"/>
    <w:rsid w:val="00CE03B0"/>
    <w:rsid w:val="00CE0B0C"/>
    <w:rsid w:val="00CE1088"/>
    <w:rsid w:val="00CE1340"/>
    <w:rsid w:val="00CE134F"/>
    <w:rsid w:val="00CE168F"/>
    <w:rsid w:val="00CE1894"/>
    <w:rsid w:val="00CE21FA"/>
    <w:rsid w:val="00CE2784"/>
    <w:rsid w:val="00CE2C22"/>
    <w:rsid w:val="00CE2C9A"/>
    <w:rsid w:val="00CE2DCA"/>
    <w:rsid w:val="00CE2E54"/>
    <w:rsid w:val="00CE3105"/>
    <w:rsid w:val="00CE3228"/>
    <w:rsid w:val="00CE340C"/>
    <w:rsid w:val="00CE34BA"/>
    <w:rsid w:val="00CE3648"/>
    <w:rsid w:val="00CE3801"/>
    <w:rsid w:val="00CE3AFA"/>
    <w:rsid w:val="00CE4057"/>
    <w:rsid w:val="00CE4065"/>
    <w:rsid w:val="00CE4682"/>
    <w:rsid w:val="00CE4AE9"/>
    <w:rsid w:val="00CE58F9"/>
    <w:rsid w:val="00CE68D7"/>
    <w:rsid w:val="00CE6B1B"/>
    <w:rsid w:val="00CE6E40"/>
    <w:rsid w:val="00CE6ED0"/>
    <w:rsid w:val="00CE707F"/>
    <w:rsid w:val="00CE7308"/>
    <w:rsid w:val="00CE743B"/>
    <w:rsid w:val="00CE7546"/>
    <w:rsid w:val="00CE79F0"/>
    <w:rsid w:val="00CE7EFC"/>
    <w:rsid w:val="00CF0D22"/>
    <w:rsid w:val="00CF0D97"/>
    <w:rsid w:val="00CF1527"/>
    <w:rsid w:val="00CF158A"/>
    <w:rsid w:val="00CF15CA"/>
    <w:rsid w:val="00CF1741"/>
    <w:rsid w:val="00CF1B6B"/>
    <w:rsid w:val="00CF1C3F"/>
    <w:rsid w:val="00CF2184"/>
    <w:rsid w:val="00CF2718"/>
    <w:rsid w:val="00CF2C8F"/>
    <w:rsid w:val="00CF30F3"/>
    <w:rsid w:val="00CF35F7"/>
    <w:rsid w:val="00CF36DF"/>
    <w:rsid w:val="00CF371B"/>
    <w:rsid w:val="00CF37E6"/>
    <w:rsid w:val="00CF39F3"/>
    <w:rsid w:val="00CF3D4D"/>
    <w:rsid w:val="00CF3D6E"/>
    <w:rsid w:val="00CF4013"/>
    <w:rsid w:val="00CF40B3"/>
    <w:rsid w:val="00CF4A4F"/>
    <w:rsid w:val="00CF4A98"/>
    <w:rsid w:val="00CF4DC5"/>
    <w:rsid w:val="00CF4F94"/>
    <w:rsid w:val="00CF5648"/>
    <w:rsid w:val="00CF576C"/>
    <w:rsid w:val="00CF61A9"/>
    <w:rsid w:val="00CF647E"/>
    <w:rsid w:val="00CF69C2"/>
    <w:rsid w:val="00CF72DC"/>
    <w:rsid w:val="00CF7D08"/>
    <w:rsid w:val="00CF7EDD"/>
    <w:rsid w:val="00D004A0"/>
    <w:rsid w:val="00D00962"/>
    <w:rsid w:val="00D00EF5"/>
    <w:rsid w:val="00D012A5"/>
    <w:rsid w:val="00D01340"/>
    <w:rsid w:val="00D01446"/>
    <w:rsid w:val="00D0196A"/>
    <w:rsid w:val="00D01F4A"/>
    <w:rsid w:val="00D01F6C"/>
    <w:rsid w:val="00D022CD"/>
    <w:rsid w:val="00D0253F"/>
    <w:rsid w:val="00D02932"/>
    <w:rsid w:val="00D02A98"/>
    <w:rsid w:val="00D02BC2"/>
    <w:rsid w:val="00D03150"/>
    <w:rsid w:val="00D0366A"/>
    <w:rsid w:val="00D03DA5"/>
    <w:rsid w:val="00D04BBB"/>
    <w:rsid w:val="00D04BCF"/>
    <w:rsid w:val="00D04D1F"/>
    <w:rsid w:val="00D04E8E"/>
    <w:rsid w:val="00D04F4D"/>
    <w:rsid w:val="00D04F96"/>
    <w:rsid w:val="00D04FF5"/>
    <w:rsid w:val="00D05022"/>
    <w:rsid w:val="00D05150"/>
    <w:rsid w:val="00D05432"/>
    <w:rsid w:val="00D055F5"/>
    <w:rsid w:val="00D05E6B"/>
    <w:rsid w:val="00D060C7"/>
    <w:rsid w:val="00D0610B"/>
    <w:rsid w:val="00D065AF"/>
    <w:rsid w:val="00D06614"/>
    <w:rsid w:val="00D066FB"/>
    <w:rsid w:val="00D068FD"/>
    <w:rsid w:val="00D06903"/>
    <w:rsid w:val="00D070B0"/>
    <w:rsid w:val="00D07F58"/>
    <w:rsid w:val="00D10472"/>
    <w:rsid w:val="00D10772"/>
    <w:rsid w:val="00D10927"/>
    <w:rsid w:val="00D10B71"/>
    <w:rsid w:val="00D10D1E"/>
    <w:rsid w:val="00D10FC2"/>
    <w:rsid w:val="00D1163E"/>
    <w:rsid w:val="00D118FE"/>
    <w:rsid w:val="00D11A0F"/>
    <w:rsid w:val="00D11FBE"/>
    <w:rsid w:val="00D125A2"/>
    <w:rsid w:val="00D127AE"/>
    <w:rsid w:val="00D12BC5"/>
    <w:rsid w:val="00D130D1"/>
    <w:rsid w:val="00D13830"/>
    <w:rsid w:val="00D13859"/>
    <w:rsid w:val="00D1418C"/>
    <w:rsid w:val="00D14E3C"/>
    <w:rsid w:val="00D14F44"/>
    <w:rsid w:val="00D151D8"/>
    <w:rsid w:val="00D15484"/>
    <w:rsid w:val="00D156DC"/>
    <w:rsid w:val="00D15AEB"/>
    <w:rsid w:val="00D15B06"/>
    <w:rsid w:val="00D15FD7"/>
    <w:rsid w:val="00D16088"/>
    <w:rsid w:val="00D1609B"/>
    <w:rsid w:val="00D163D7"/>
    <w:rsid w:val="00D166B0"/>
    <w:rsid w:val="00D169A2"/>
    <w:rsid w:val="00D16E40"/>
    <w:rsid w:val="00D16FA3"/>
    <w:rsid w:val="00D17043"/>
    <w:rsid w:val="00D170DA"/>
    <w:rsid w:val="00D1783D"/>
    <w:rsid w:val="00D17E37"/>
    <w:rsid w:val="00D200C7"/>
    <w:rsid w:val="00D206ED"/>
    <w:rsid w:val="00D2075E"/>
    <w:rsid w:val="00D20D2F"/>
    <w:rsid w:val="00D20F72"/>
    <w:rsid w:val="00D217B5"/>
    <w:rsid w:val="00D21929"/>
    <w:rsid w:val="00D21C57"/>
    <w:rsid w:val="00D225BD"/>
    <w:rsid w:val="00D229FB"/>
    <w:rsid w:val="00D22C5E"/>
    <w:rsid w:val="00D22D4A"/>
    <w:rsid w:val="00D22DB7"/>
    <w:rsid w:val="00D2302A"/>
    <w:rsid w:val="00D236FC"/>
    <w:rsid w:val="00D23844"/>
    <w:rsid w:val="00D23A3F"/>
    <w:rsid w:val="00D23BC3"/>
    <w:rsid w:val="00D23C0F"/>
    <w:rsid w:val="00D23E28"/>
    <w:rsid w:val="00D23EDE"/>
    <w:rsid w:val="00D241D3"/>
    <w:rsid w:val="00D24375"/>
    <w:rsid w:val="00D249A4"/>
    <w:rsid w:val="00D24A3C"/>
    <w:rsid w:val="00D25310"/>
    <w:rsid w:val="00D2537F"/>
    <w:rsid w:val="00D253E1"/>
    <w:rsid w:val="00D259D1"/>
    <w:rsid w:val="00D25F52"/>
    <w:rsid w:val="00D2600F"/>
    <w:rsid w:val="00D265C2"/>
    <w:rsid w:val="00D26939"/>
    <w:rsid w:val="00D26ED4"/>
    <w:rsid w:val="00D2755D"/>
    <w:rsid w:val="00D2758A"/>
    <w:rsid w:val="00D27E2E"/>
    <w:rsid w:val="00D27FA8"/>
    <w:rsid w:val="00D300CB"/>
    <w:rsid w:val="00D30221"/>
    <w:rsid w:val="00D30320"/>
    <w:rsid w:val="00D30641"/>
    <w:rsid w:val="00D30EE3"/>
    <w:rsid w:val="00D31148"/>
    <w:rsid w:val="00D32C94"/>
    <w:rsid w:val="00D32F6B"/>
    <w:rsid w:val="00D33440"/>
    <w:rsid w:val="00D336A0"/>
    <w:rsid w:val="00D33CE1"/>
    <w:rsid w:val="00D33E7F"/>
    <w:rsid w:val="00D34247"/>
    <w:rsid w:val="00D3426C"/>
    <w:rsid w:val="00D343DC"/>
    <w:rsid w:val="00D3442C"/>
    <w:rsid w:val="00D34B15"/>
    <w:rsid w:val="00D34BA9"/>
    <w:rsid w:val="00D35ADE"/>
    <w:rsid w:val="00D35AEC"/>
    <w:rsid w:val="00D35C59"/>
    <w:rsid w:val="00D35DE9"/>
    <w:rsid w:val="00D35EC7"/>
    <w:rsid w:val="00D364A1"/>
    <w:rsid w:val="00D365D3"/>
    <w:rsid w:val="00D3670B"/>
    <w:rsid w:val="00D369A7"/>
    <w:rsid w:val="00D36DF9"/>
    <w:rsid w:val="00D3709D"/>
    <w:rsid w:val="00D3726F"/>
    <w:rsid w:val="00D375BA"/>
    <w:rsid w:val="00D3761B"/>
    <w:rsid w:val="00D3766D"/>
    <w:rsid w:val="00D37B90"/>
    <w:rsid w:val="00D40117"/>
    <w:rsid w:val="00D404ED"/>
    <w:rsid w:val="00D409F8"/>
    <w:rsid w:val="00D40A05"/>
    <w:rsid w:val="00D40A8E"/>
    <w:rsid w:val="00D4128F"/>
    <w:rsid w:val="00D41462"/>
    <w:rsid w:val="00D41825"/>
    <w:rsid w:val="00D41942"/>
    <w:rsid w:val="00D42234"/>
    <w:rsid w:val="00D4223B"/>
    <w:rsid w:val="00D422A6"/>
    <w:rsid w:val="00D42413"/>
    <w:rsid w:val="00D425C3"/>
    <w:rsid w:val="00D42671"/>
    <w:rsid w:val="00D42978"/>
    <w:rsid w:val="00D42D32"/>
    <w:rsid w:val="00D42F7B"/>
    <w:rsid w:val="00D4300E"/>
    <w:rsid w:val="00D4376F"/>
    <w:rsid w:val="00D43901"/>
    <w:rsid w:val="00D43B19"/>
    <w:rsid w:val="00D43D74"/>
    <w:rsid w:val="00D43F0A"/>
    <w:rsid w:val="00D43F4C"/>
    <w:rsid w:val="00D4401A"/>
    <w:rsid w:val="00D44845"/>
    <w:rsid w:val="00D44AD5"/>
    <w:rsid w:val="00D44BB9"/>
    <w:rsid w:val="00D44D5F"/>
    <w:rsid w:val="00D44E9A"/>
    <w:rsid w:val="00D454C1"/>
    <w:rsid w:val="00D4567A"/>
    <w:rsid w:val="00D45F92"/>
    <w:rsid w:val="00D460D3"/>
    <w:rsid w:val="00D469F3"/>
    <w:rsid w:val="00D46BC5"/>
    <w:rsid w:val="00D47194"/>
    <w:rsid w:val="00D471C3"/>
    <w:rsid w:val="00D47222"/>
    <w:rsid w:val="00D47870"/>
    <w:rsid w:val="00D47972"/>
    <w:rsid w:val="00D500B6"/>
    <w:rsid w:val="00D500D4"/>
    <w:rsid w:val="00D50318"/>
    <w:rsid w:val="00D50E21"/>
    <w:rsid w:val="00D50EA6"/>
    <w:rsid w:val="00D50ED6"/>
    <w:rsid w:val="00D51193"/>
    <w:rsid w:val="00D5154C"/>
    <w:rsid w:val="00D51E86"/>
    <w:rsid w:val="00D52422"/>
    <w:rsid w:val="00D529EC"/>
    <w:rsid w:val="00D52D9B"/>
    <w:rsid w:val="00D52EFA"/>
    <w:rsid w:val="00D53556"/>
    <w:rsid w:val="00D5362C"/>
    <w:rsid w:val="00D53965"/>
    <w:rsid w:val="00D5396B"/>
    <w:rsid w:val="00D54C36"/>
    <w:rsid w:val="00D54C6F"/>
    <w:rsid w:val="00D54C79"/>
    <w:rsid w:val="00D54CE9"/>
    <w:rsid w:val="00D55089"/>
    <w:rsid w:val="00D55237"/>
    <w:rsid w:val="00D5581F"/>
    <w:rsid w:val="00D5583A"/>
    <w:rsid w:val="00D56FAE"/>
    <w:rsid w:val="00D574E4"/>
    <w:rsid w:val="00D57509"/>
    <w:rsid w:val="00D5764B"/>
    <w:rsid w:val="00D60060"/>
    <w:rsid w:val="00D601F1"/>
    <w:rsid w:val="00D603E2"/>
    <w:rsid w:val="00D60A44"/>
    <w:rsid w:val="00D60A94"/>
    <w:rsid w:val="00D60E83"/>
    <w:rsid w:val="00D6183C"/>
    <w:rsid w:val="00D6233C"/>
    <w:rsid w:val="00D6263A"/>
    <w:rsid w:val="00D6295F"/>
    <w:rsid w:val="00D62FA0"/>
    <w:rsid w:val="00D63095"/>
    <w:rsid w:val="00D63A98"/>
    <w:rsid w:val="00D63B2E"/>
    <w:rsid w:val="00D63E73"/>
    <w:rsid w:val="00D63FDC"/>
    <w:rsid w:val="00D6455D"/>
    <w:rsid w:val="00D645A9"/>
    <w:rsid w:val="00D6461D"/>
    <w:rsid w:val="00D648F9"/>
    <w:rsid w:val="00D64904"/>
    <w:rsid w:val="00D64BCC"/>
    <w:rsid w:val="00D64CEA"/>
    <w:rsid w:val="00D64F9A"/>
    <w:rsid w:val="00D65225"/>
    <w:rsid w:val="00D65684"/>
    <w:rsid w:val="00D65B14"/>
    <w:rsid w:val="00D65D98"/>
    <w:rsid w:val="00D66981"/>
    <w:rsid w:val="00D669B3"/>
    <w:rsid w:val="00D66A2A"/>
    <w:rsid w:val="00D66CE3"/>
    <w:rsid w:val="00D67B1A"/>
    <w:rsid w:val="00D70227"/>
    <w:rsid w:val="00D70244"/>
    <w:rsid w:val="00D70899"/>
    <w:rsid w:val="00D709D9"/>
    <w:rsid w:val="00D70A9F"/>
    <w:rsid w:val="00D70AFB"/>
    <w:rsid w:val="00D70E82"/>
    <w:rsid w:val="00D7129C"/>
    <w:rsid w:val="00D714AC"/>
    <w:rsid w:val="00D7169C"/>
    <w:rsid w:val="00D71A26"/>
    <w:rsid w:val="00D71C6A"/>
    <w:rsid w:val="00D725C4"/>
    <w:rsid w:val="00D727CD"/>
    <w:rsid w:val="00D72B7E"/>
    <w:rsid w:val="00D72C2B"/>
    <w:rsid w:val="00D730F4"/>
    <w:rsid w:val="00D73224"/>
    <w:rsid w:val="00D734B9"/>
    <w:rsid w:val="00D73595"/>
    <w:rsid w:val="00D73B6F"/>
    <w:rsid w:val="00D73E1E"/>
    <w:rsid w:val="00D73E4A"/>
    <w:rsid w:val="00D74004"/>
    <w:rsid w:val="00D742D3"/>
    <w:rsid w:val="00D746B6"/>
    <w:rsid w:val="00D74C87"/>
    <w:rsid w:val="00D74D40"/>
    <w:rsid w:val="00D7502A"/>
    <w:rsid w:val="00D7532A"/>
    <w:rsid w:val="00D753AE"/>
    <w:rsid w:val="00D7571A"/>
    <w:rsid w:val="00D7583A"/>
    <w:rsid w:val="00D758AA"/>
    <w:rsid w:val="00D75A06"/>
    <w:rsid w:val="00D75B5F"/>
    <w:rsid w:val="00D76504"/>
    <w:rsid w:val="00D772AA"/>
    <w:rsid w:val="00D772CD"/>
    <w:rsid w:val="00D774D0"/>
    <w:rsid w:val="00D80188"/>
    <w:rsid w:val="00D8099F"/>
    <w:rsid w:val="00D80DC7"/>
    <w:rsid w:val="00D80E46"/>
    <w:rsid w:val="00D8186A"/>
    <w:rsid w:val="00D81D67"/>
    <w:rsid w:val="00D821D0"/>
    <w:rsid w:val="00D82439"/>
    <w:rsid w:val="00D830B1"/>
    <w:rsid w:val="00D83268"/>
    <w:rsid w:val="00D83409"/>
    <w:rsid w:val="00D83677"/>
    <w:rsid w:val="00D836B3"/>
    <w:rsid w:val="00D837CB"/>
    <w:rsid w:val="00D83E43"/>
    <w:rsid w:val="00D844F4"/>
    <w:rsid w:val="00D847B4"/>
    <w:rsid w:val="00D84E51"/>
    <w:rsid w:val="00D84E89"/>
    <w:rsid w:val="00D84EEC"/>
    <w:rsid w:val="00D84EF5"/>
    <w:rsid w:val="00D852C0"/>
    <w:rsid w:val="00D858E3"/>
    <w:rsid w:val="00D85CED"/>
    <w:rsid w:val="00D85D80"/>
    <w:rsid w:val="00D85D8C"/>
    <w:rsid w:val="00D85F23"/>
    <w:rsid w:val="00D862CF"/>
    <w:rsid w:val="00D8650F"/>
    <w:rsid w:val="00D865D8"/>
    <w:rsid w:val="00D86A62"/>
    <w:rsid w:val="00D86B20"/>
    <w:rsid w:val="00D86B94"/>
    <w:rsid w:val="00D86BB6"/>
    <w:rsid w:val="00D870CD"/>
    <w:rsid w:val="00D8717F"/>
    <w:rsid w:val="00D871E6"/>
    <w:rsid w:val="00D872D5"/>
    <w:rsid w:val="00D87D9D"/>
    <w:rsid w:val="00D87F07"/>
    <w:rsid w:val="00D87FCB"/>
    <w:rsid w:val="00D90968"/>
    <w:rsid w:val="00D90CD4"/>
    <w:rsid w:val="00D90DD9"/>
    <w:rsid w:val="00D9110F"/>
    <w:rsid w:val="00D917B2"/>
    <w:rsid w:val="00D917EA"/>
    <w:rsid w:val="00D91B86"/>
    <w:rsid w:val="00D91D2C"/>
    <w:rsid w:val="00D91D3F"/>
    <w:rsid w:val="00D91FCB"/>
    <w:rsid w:val="00D923A7"/>
    <w:rsid w:val="00D92601"/>
    <w:rsid w:val="00D927AC"/>
    <w:rsid w:val="00D92ABF"/>
    <w:rsid w:val="00D93118"/>
    <w:rsid w:val="00D936C8"/>
    <w:rsid w:val="00D93D20"/>
    <w:rsid w:val="00D94439"/>
    <w:rsid w:val="00D945C2"/>
    <w:rsid w:val="00D9481E"/>
    <w:rsid w:val="00D94AC3"/>
    <w:rsid w:val="00D95321"/>
    <w:rsid w:val="00D95730"/>
    <w:rsid w:val="00D95BF3"/>
    <w:rsid w:val="00D95DFE"/>
    <w:rsid w:val="00D960D3"/>
    <w:rsid w:val="00D963F1"/>
    <w:rsid w:val="00D9680F"/>
    <w:rsid w:val="00D968BA"/>
    <w:rsid w:val="00D96A79"/>
    <w:rsid w:val="00D96B1E"/>
    <w:rsid w:val="00D96D6C"/>
    <w:rsid w:val="00D96E74"/>
    <w:rsid w:val="00D9702B"/>
    <w:rsid w:val="00D97405"/>
    <w:rsid w:val="00D9783F"/>
    <w:rsid w:val="00D97E1C"/>
    <w:rsid w:val="00DA01F5"/>
    <w:rsid w:val="00DA04A5"/>
    <w:rsid w:val="00DA0FBB"/>
    <w:rsid w:val="00DA12D4"/>
    <w:rsid w:val="00DA146A"/>
    <w:rsid w:val="00DA15EA"/>
    <w:rsid w:val="00DA16BE"/>
    <w:rsid w:val="00DA185D"/>
    <w:rsid w:val="00DA1AF1"/>
    <w:rsid w:val="00DA1B9C"/>
    <w:rsid w:val="00DA1EAF"/>
    <w:rsid w:val="00DA2050"/>
    <w:rsid w:val="00DA2121"/>
    <w:rsid w:val="00DA229E"/>
    <w:rsid w:val="00DA22EB"/>
    <w:rsid w:val="00DA2AF0"/>
    <w:rsid w:val="00DA2B98"/>
    <w:rsid w:val="00DA2C03"/>
    <w:rsid w:val="00DA35E6"/>
    <w:rsid w:val="00DA3EB1"/>
    <w:rsid w:val="00DA3F1A"/>
    <w:rsid w:val="00DA3FFA"/>
    <w:rsid w:val="00DA40A2"/>
    <w:rsid w:val="00DA43DF"/>
    <w:rsid w:val="00DA4592"/>
    <w:rsid w:val="00DA4895"/>
    <w:rsid w:val="00DA4ACC"/>
    <w:rsid w:val="00DA4FCF"/>
    <w:rsid w:val="00DA52FC"/>
    <w:rsid w:val="00DA53F5"/>
    <w:rsid w:val="00DA5905"/>
    <w:rsid w:val="00DA5992"/>
    <w:rsid w:val="00DA5AFC"/>
    <w:rsid w:val="00DA5E0C"/>
    <w:rsid w:val="00DA5E1E"/>
    <w:rsid w:val="00DA5E26"/>
    <w:rsid w:val="00DA616A"/>
    <w:rsid w:val="00DA6555"/>
    <w:rsid w:val="00DA66C5"/>
    <w:rsid w:val="00DA6892"/>
    <w:rsid w:val="00DA76FA"/>
    <w:rsid w:val="00DA79C1"/>
    <w:rsid w:val="00DA7C56"/>
    <w:rsid w:val="00DB0798"/>
    <w:rsid w:val="00DB0800"/>
    <w:rsid w:val="00DB0AF5"/>
    <w:rsid w:val="00DB0DC6"/>
    <w:rsid w:val="00DB0F81"/>
    <w:rsid w:val="00DB1076"/>
    <w:rsid w:val="00DB143E"/>
    <w:rsid w:val="00DB198C"/>
    <w:rsid w:val="00DB19AF"/>
    <w:rsid w:val="00DB1E66"/>
    <w:rsid w:val="00DB1FC4"/>
    <w:rsid w:val="00DB2133"/>
    <w:rsid w:val="00DB2395"/>
    <w:rsid w:val="00DB2721"/>
    <w:rsid w:val="00DB2B49"/>
    <w:rsid w:val="00DB2B67"/>
    <w:rsid w:val="00DB2B6C"/>
    <w:rsid w:val="00DB308D"/>
    <w:rsid w:val="00DB34D6"/>
    <w:rsid w:val="00DB3AAB"/>
    <w:rsid w:val="00DB421E"/>
    <w:rsid w:val="00DB45C8"/>
    <w:rsid w:val="00DB48E2"/>
    <w:rsid w:val="00DB4996"/>
    <w:rsid w:val="00DB4B3B"/>
    <w:rsid w:val="00DB4C7E"/>
    <w:rsid w:val="00DB4D2C"/>
    <w:rsid w:val="00DB5080"/>
    <w:rsid w:val="00DB544C"/>
    <w:rsid w:val="00DB55B5"/>
    <w:rsid w:val="00DB572C"/>
    <w:rsid w:val="00DB5E0A"/>
    <w:rsid w:val="00DB6097"/>
    <w:rsid w:val="00DB66D9"/>
    <w:rsid w:val="00DB6A6E"/>
    <w:rsid w:val="00DB6C2C"/>
    <w:rsid w:val="00DB6C54"/>
    <w:rsid w:val="00DB7CC8"/>
    <w:rsid w:val="00DB7D59"/>
    <w:rsid w:val="00DB7EA9"/>
    <w:rsid w:val="00DC0125"/>
    <w:rsid w:val="00DC03CC"/>
    <w:rsid w:val="00DC0827"/>
    <w:rsid w:val="00DC0A36"/>
    <w:rsid w:val="00DC0D82"/>
    <w:rsid w:val="00DC1040"/>
    <w:rsid w:val="00DC147C"/>
    <w:rsid w:val="00DC19E7"/>
    <w:rsid w:val="00DC1A5E"/>
    <w:rsid w:val="00DC1A8B"/>
    <w:rsid w:val="00DC2031"/>
    <w:rsid w:val="00DC207E"/>
    <w:rsid w:val="00DC20B5"/>
    <w:rsid w:val="00DC28FE"/>
    <w:rsid w:val="00DC290C"/>
    <w:rsid w:val="00DC2A2F"/>
    <w:rsid w:val="00DC2A7C"/>
    <w:rsid w:val="00DC33B4"/>
    <w:rsid w:val="00DC3C08"/>
    <w:rsid w:val="00DC3FF3"/>
    <w:rsid w:val="00DC41B2"/>
    <w:rsid w:val="00DC4994"/>
    <w:rsid w:val="00DC4B59"/>
    <w:rsid w:val="00DC4CDD"/>
    <w:rsid w:val="00DC4D52"/>
    <w:rsid w:val="00DC510E"/>
    <w:rsid w:val="00DC514B"/>
    <w:rsid w:val="00DC579A"/>
    <w:rsid w:val="00DC57D8"/>
    <w:rsid w:val="00DC58DF"/>
    <w:rsid w:val="00DC5982"/>
    <w:rsid w:val="00DC5F51"/>
    <w:rsid w:val="00DC60A0"/>
    <w:rsid w:val="00DC6B0A"/>
    <w:rsid w:val="00DC6C92"/>
    <w:rsid w:val="00DC7647"/>
    <w:rsid w:val="00DC7933"/>
    <w:rsid w:val="00DD012D"/>
    <w:rsid w:val="00DD015E"/>
    <w:rsid w:val="00DD01EE"/>
    <w:rsid w:val="00DD02B7"/>
    <w:rsid w:val="00DD0366"/>
    <w:rsid w:val="00DD0AAF"/>
    <w:rsid w:val="00DD0C0E"/>
    <w:rsid w:val="00DD0E23"/>
    <w:rsid w:val="00DD12CD"/>
    <w:rsid w:val="00DD1980"/>
    <w:rsid w:val="00DD1E33"/>
    <w:rsid w:val="00DD244E"/>
    <w:rsid w:val="00DD2686"/>
    <w:rsid w:val="00DD2D25"/>
    <w:rsid w:val="00DD2D8A"/>
    <w:rsid w:val="00DD3754"/>
    <w:rsid w:val="00DD396D"/>
    <w:rsid w:val="00DD41CC"/>
    <w:rsid w:val="00DD4656"/>
    <w:rsid w:val="00DD4C5D"/>
    <w:rsid w:val="00DD4C6E"/>
    <w:rsid w:val="00DD55AE"/>
    <w:rsid w:val="00DD5702"/>
    <w:rsid w:val="00DD5948"/>
    <w:rsid w:val="00DD5D2B"/>
    <w:rsid w:val="00DD639D"/>
    <w:rsid w:val="00DD699F"/>
    <w:rsid w:val="00DD6D26"/>
    <w:rsid w:val="00DD6F8B"/>
    <w:rsid w:val="00DD723F"/>
    <w:rsid w:val="00DD76A8"/>
    <w:rsid w:val="00DD7724"/>
    <w:rsid w:val="00DD783B"/>
    <w:rsid w:val="00DD78FB"/>
    <w:rsid w:val="00DD7B5E"/>
    <w:rsid w:val="00DD7B6A"/>
    <w:rsid w:val="00DD7EF0"/>
    <w:rsid w:val="00DE00CD"/>
    <w:rsid w:val="00DE00D7"/>
    <w:rsid w:val="00DE067C"/>
    <w:rsid w:val="00DE1088"/>
    <w:rsid w:val="00DE152E"/>
    <w:rsid w:val="00DE17A8"/>
    <w:rsid w:val="00DE18C2"/>
    <w:rsid w:val="00DE191B"/>
    <w:rsid w:val="00DE1D97"/>
    <w:rsid w:val="00DE21D8"/>
    <w:rsid w:val="00DE2355"/>
    <w:rsid w:val="00DE254C"/>
    <w:rsid w:val="00DE2A4E"/>
    <w:rsid w:val="00DE2EEC"/>
    <w:rsid w:val="00DE2F68"/>
    <w:rsid w:val="00DE3032"/>
    <w:rsid w:val="00DE32CF"/>
    <w:rsid w:val="00DE36B2"/>
    <w:rsid w:val="00DE3B51"/>
    <w:rsid w:val="00DE3C38"/>
    <w:rsid w:val="00DE3E74"/>
    <w:rsid w:val="00DE4E7A"/>
    <w:rsid w:val="00DE5153"/>
    <w:rsid w:val="00DE52F6"/>
    <w:rsid w:val="00DE5DCC"/>
    <w:rsid w:val="00DE5E2B"/>
    <w:rsid w:val="00DE5F5A"/>
    <w:rsid w:val="00DE6435"/>
    <w:rsid w:val="00DE66BF"/>
    <w:rsid w:val="00DE69B3"/>
    <w:rsid w:val="00DE6E45"/>
    <w:rsid w:val="00DE7512"/>
    <w:rsid w:val="00DE7871"/>
    <w:rsid w:val="00DE78B4"/>
    <w:rsid w:val="00DE7A2B"/>
    <w:rsid w:val="00DF01DF"/>
    <w:rsid w:val="00DF0206"/>
    <w:rsid w:val="00DF031F"/>
    <w:rsid w:val="00DF03A5"/>
    <w:rsid w:val="00DF0519"/>
    <w:rsid w:val="00DF053F"/>
    <w:rsid w:val="00DF0744"/>
    <w:rsid w:val="00DF0D15"/>
    <w:rsid w:val="00DF1122"/>
    <w:rsid w:val="00DF1718"/>
    <w:rsid w:val="00DF1F00"/>
    <w:rsid w:val="00DF246F"/>
    <w:rsid w:val="00DF258F"/>
    <w:rsid w:val="00DF25B5"/>
    <w:rsid w:val="00DF25F2"/>
    <w:rsid w:val="00DF33D2"/>
    <w:rsid w:val="00DF33DB"/>
    <w:rsid w:val="00DF34D5"/>
    <w:rsid w:val="00DF3961"/>
    <w:rsid w:val="00DF3A85"/>
    <w:rsid w:val="00DF402C"/>
    <w:rsid w:val="00DF48A3"/>
    <w:rsid w:val="00DF49DD"/>
    <w:rsid w:val="00DF4B2A"/>
    <w:rsid w:val="00DF5127"/>
    <w:rsid w:val="00DF5500"/>
    <w:rsid w:val="00DF5531"/>
    <w:rsid w:val="00DF55A9"/>
    <w:rsid w:val="00DF5949"/>
    <w:rsid w:val="00DF595F"/>
    <w:rsid w:val="00DF5CD2"/>
    <w:rsid w:val="00DF5EBC"/>
    <w:rsid w:val="00DF63E9"/>
    <w:rsid w:val="00DF67A6"/>
    <w:rsid w:val="00DF6C2C"/>
    <w:rsid w:val="00DF6E5A"/>
    <w:rsid w:val="00DF740D"/>
    <w:rsid w:val="00DF75CE"/>
    <w:rsid w:val="00DF78F8"/>
    <w:rsid w:val="00DF794E"/>
    <w:rsid w:val="00DF7EB0"/>
    <w:rsid w:val="00E00481"/>
    <w:rsid w:val="00E00671"/>
    <w:rsid w:val="00E00F6E"/>
    <w:rsid w:val="00E01041"/>
    <w:rsid w:val="00E0151D"/>
    <w:rsid w:val="00E01813"/>
    <w:rsid w:val="00E0184D"/>
    <w:rsid w:val="00E018FB"/>
    <w:rsid w:val="00E01BF9"/>
    <w:rsid w:val="00E01D37"/>
    <w:rsid w:val="00E01D7B"/>
    <w:rsid w:val="00E0231B"/>
    <w:rsid w:val="00E02454"/>
    <w:rsid w:val="00E02486"/>
    <w:rsid w:val="00E027D6"/>
    <w:rsid w:val="00E02CB8"/>
    <w:rsid w:val="00E02EF0"/>
    <w:rsid w:val="00E02FA6"/>
    <w:rsid w:val="00E036DA"/>
    <w:rsid w:val="00E038AF"/>
    <w:rsid w:val="00E03CC4"/>
    <w:rsid w:val="00E03FA8"/>
    <w:rsid w:val="00E04D34"/>
    <w:rsid w:val="00E04EFE"/>
    <w:rsid w:val="00E052B1"/>
    <w:rsid w:val="00E053AA"/>
    <w:rsid w:val="00E05595"/>
    <w:rsid w:val="00E05CCA"/>
    <w:rsid w:val="00E05EF3"/>
    <w:rsid w:val="00E0662A"/>
    <w:rsid w:val="00E0685F"/>
    <w:rsid w:val="00E06A4E"/>
    <w:rsid w:val="00E06B09"/>
    <w:rsid w:val="00E06F24"/>
    <w:rsid w:val="00E0726E"/>
    <w:rsid w:val="00E0733B"/>
    <w:rsid w:val="00E077A5"/>
    <w:rsid w:val="00E07A99"/>
    <w:rsid w:val="00E07DEA"/>
    <w:rsid w:val="00E106D6"/>
    <w:rsid w:val="00E107CB"/>
    <w:rsid w:val="00E10DB0"/>
    <w:rsid w:val="00E110EB"/>
    <w:rsid w:val="00E1148F"/>
    <w:rsid w:val="00E11747"/>
    <w:rsid w:val="00E117DB"/>
    <w:rsid w:val="00E11EC2"/>
    <w:rsid w:val="00E11F7A"/>
    <w:rsid w:val="00E11FD5"/>
    <w:rsid w:val="00E1232C"/>
    <w:rsid w:val="00E1248B"/>
    <w:rsid w:val="00E12621"/>
    <w:rsid w:val="00E128FB"/>
    <w:rsid w:val="00E12971"/>
    <w:rsid w:val="00E12A73"/>
    <w:rsid w:val="00E12BD5"/>
    <w:rsid w:val="00E1337B"/>
    <w:rsid w:val="00E13B0C"/>
    <w:rsid w:val="00E13CDC"/>
    <w:rsid w:val="00E13E84"/>
    <w:rsid w:val="00E145CA"/>
    <w:rsid w:val="00E14947"/>
    <w:rsid w:val="00E14AC7"/>
    <w:rsid w:val="00E14C3A"/>
    <w:rsid w:val="00E14D7E"/>
    <w:rsid w:val="00E14F1C"/>
    <w:rsid w:val="00E158C2"/>
    <w:rsid w:val="00E160F6"/>
    <w:rsid w:val="00E16254"/>
    <w:rsid w:val="00E16632"/>
    <w:rsid w:val="00E16E3A"/>
    <w:rsid w:val="00E16ECD"/>
    <w:rsid w:val="00E1717C"/>
    <w:rsid w:val="00E17973"/>
    <w:rsid w:val="00E17CF4"/>
    <w:rsid w:val="00E20048"/>
    <w:rsid w:val="00E20108"/>
    <w:rsid w:val="00E20F16"/>
    <w:rsid w:val="00E213D6"/>
    <w:rsid w:val="00E21690"/>
    <w:rsid w:val="00E218AB"/>
    <w:rsid w:val="00E21966"/>
    <w:rsid w:val="00E21B9E"/>
    <w:rsid w:val="00E21C9F"/>
    <w:rsid w:val="00E21CFA"/>
    <w:rsid w:val="00E21DC0"/>
    <w:rsid w:val="00E21F1F"/>
    <w:rsid w:val="00E22479"/>
    <w:rsid w:val="00E22738"/>
    <w:rsid w:val="00E229AE"/>
    <w:rsid w:val="00E23109"/>
    <w:rsid w:val="00E2323D"/>
    <w:rsid w:val="00E2356D"/>
    <w:rsid w:val="00E2369A"/>
    <w:rsid w:val="00E23806"/>
    <w:rsid w:val="00E239F1"/>
    <w:rsid w:val="00E23D6E"/>
    <w:rsid w:val="00E2419E"/>
    <w:rsid w:val="00E244F7"/>
    <w:rsid w:val="00E24BDC"/>
    <w:rsid w:val="00E25556"/>
    <w:rsid w:val="00E25B24"/>
    <w:rsid w:val="00E25FD9"/>
    <w:rsid w:val="00E2640E"/>
    <w:rsid w:val="00E2661D"/>
    <w:rsid w:val="00E267EF"/>
    <w:rsid w:val="00E27129"/>
    <w:rsid w:val="00E2756E"/>
    <w:rsid w:val="00E27835"/>
    <w:rsid w:val="00E279EF"/>
    <w:rsid w:val="00E27C45"/>
    <w:rsid w:val="00E27CC8"/>
    <w:rsid w:val="00E27D20"/>
    <w:rsid w:val="00E307AC"/>
    <w:rsid w:val="00E30884"/>
    <w:rsid w:val="00E30AD3"/>
    <w:rsid w:val="00E30BAE"/>
    <w:rsid w:val="00E30D6A"/>
    <w:rsid w:val="00E30ECF"/>
    <w:rsid w:val="00E310DE"/>
    <w:rsid w:val="00E311B0"/>
    <w:rsid w:val="00E3140A"/>
    <w:rsid w:val="00E31884"/>
    <w:rsid w:val="00E31E65"/>
    <w:rsid w:val="00E322C3"/>
    <w:rsid w:val="00E323F2"/>
    <w:rsid w:val="00E3258F"/>
    <w:rsid w:val="00E32AB6"/>
    <w:rsid w:val="00E32B80"/>
    <w:rsid w:val="00E32BEF"/>
    <w:rsid w:val="00E33213"/>
    <w:rsid w:val="00E33A1D"/>
    <w:rsid w:val="00E33EF7"/>
    <w:rsid w:val="00E343D3"/>
    <w:rsid w:val="00E34471"/>
    <w:rsid w:val="00E34676"/>
    <w:rsid w:val="00E3484E"/>
    <w:rsid w:val="00E34E20"/>
    <w:rsid w:val="00E351A9"/>
    <w:rsid w:val="00E356B4"/>
    <w:rsid w:val="00E35926"/>
    <w:rsid w:val="00E35A66"/>
    <w:rsid w:val="00E361BC"/>
    <w:rsid w:val="00E36630"/>
    <w:rsid w:val="00E366B8"/>
    <w:rsid w:val="00E36890"/>
    <w:rsid w:val="00E3706C"/>
    <w:rsid w:val="00E37126"/>
    <w:rsid w:val="00E37184"/>
    <w:rsid w:val="00E37241"/>
    <w:rsid w:val="00E3784B"/>
    <w:rsid w:val="00E402E3"/>
    <w:rsid w:val="00E403A0"/>
    <w:rsid w:val="00E406FA"/>
    <w:rsid w:val="00E418E0"/>
    <w:rsid w:val="00E4229E"/>
    <w:rsid w:val="00E424AF"/>
    <w:rsid w:val="00E42C32"/>
    <w:rsid w:val="00E42E75"/>
    <w:rsid w:val="00E43130"/>
    <w:rsid w:val="00E43FFC"/>
    <w:rsid w:val="00E44146"/>
    <w:rsid w:val="00E446DA"/>
    <w:rsid w:val="00E449DF"/>
    <w:rsid w:val="00E44D79"/>
    <w:rsid w:val="00E45690"/>
    <w:rsid w:val="00E457A9"/>
    <w:rsid w:val="00E45F07"/>
    <w:rsid w:val="00E4656C"/>
    <w:rsid w:val="00E4657E"/>
    <w:rsid w:val="00E465BF"/>
    <w:rsid w:val="00E46C7F"/>
    <w:rsid w:val="00E47061"/>
    <w:rsid w:val="00E47660"/>
    <w:rsid w:val="00E47A86"/>
    <w:rsid w:val="00E47EAE"/>
    <w:rsid w:val="00E5022C"/>
    <w:rsid w:val="00E50361"/>
    <w:rsid w:val="00E50D98"/>
    <w:rsid w:val="00E50F6B"/>
    <w:rsid w:val="00E511AC"/>
    <w:rsid w:val="00E51452"/>
    <w:rsid w:val="00E51564"/>
    <w:rsid w:val="00E51A41"/>
    <w:rsid w:val="00E51A89"/>
    <w:rsid w:val="00E51C56"/>
    <w:rsid w:val="00E51F82"/>
    <w:rsid w:val="00E52281"/>
    <w:rsid w:val="00E524AA"/>
    <w:rsid w:val="00E52909"/>
    <w:rsid w:val="00E52DA7"/>
    <w:rsid w:val="00E53261"/>
    <w:rsid w:val="00E539BC"/>
    <w:rsid w:val="00E53AE1"/>
    <w:rsid w:val="00E53E0A"/>
    <w:rsid w:val="00E5425E"/>
    <w:rsid w:val="00E545E3"/>
    <w:rsid w:val="00E54846"/>
    <w:rsid w:val="00E548D1"/>
    <w:rsid w:val="00E54A29"/>
    <w:rsid w:val="00E54DEC"/>
    <w:rsid w:val="00E55472"/>
    <w:rsid w:val="00E55A86"/>
    <w:rsid w:val="00E5627E"/>
    <w:rsid w:val="00E56355"/>
    <w:rsid w:val="00E5653C"/>
    <w:rsid w:val="00E56FE0"/>
    <w:rsid w:val="00E57355"/>
    <w:rsid w:val="00E57384"/>
    <w:rsid w:val="00E57396"/>
    <w:rsid w:val="00E576AC"/>
    <w:rsid w:val="00E5780F"/>
    <w:rsid w:val="00E57B38"/>
    <w:rsid w:val="00E57C92"/>
    <w:rsid w:val="00E57DB8"/>
    <w:rsid w:val="00E601A7"/>
    <w:rsid w:val="00E611F2"/>
    <w:rsid w:val="00E61264"/>
    <w:rsid w:val="00E612AB"/>
    <w:rsid w:val="00E61506"/>
    <w:rsid w:val="00E616FE"/>
    <w:rsid w:val="00E618B8"/>
    <w:rsid w:val="00E61B62"/>
    <w:rsid w:val="00E6279A"/>
    <w:rsid w:val="00E62AC2"/>
    <w:rsid w:val="00E62B70"/>
    <w:rsid w:val="00E62D28"/>
    <w:rsid w:val="00E62E48"/>
    <w:rsid w:val="00E63603"/>
    <w:rsid w:val="00E639AA"/>
    <w:rsid w:val="00E63E5F"/>
    <w:rsid w:val="00E6457C"/>
    <w:rsid w:val="00E64B39"/>
    <w:rsid w:val="00E64BAD"/>
    <w:rsid w:val="00E64DBE"/>
    <w:rsid w:val="00E64F73"/>
    <w:rsid w:val="00E6549B"/>
    <w:rsid w:val="00E65948"/>
    <w:rsid w:val="00E659F6"/>
    <w:rsid w:val="00E65DFE"/>
    <w:rsid w:val="00E65E33"/>
    <w:rsid w:val="00E6649E"/>
    <w:rsid w:val="00E66A57"/>
    <w:rsid w:val="00E66C73"/>
    <w:rsid w:val="00E66ECA"/>
    <w:rsid w:val="00E67144"/>
    <w:rsid w:val="00E6744E"/>
    <w:rsid w:val="00E67611"/>
    <w:rsid w:val="00E6763B"/>
    <w:rsid w:val="00E67809"/>
    <w:rsid w:val="00E7005C"/>
    <w:rsid w:val="00E707BA"/>
    <w:rsid w:val="00E7093D"/>
    <w:rsid w:val="00E70992"/>
    <w:rsid w:val="00E70D37"/>
    <w:rsid w:val="00E71124"/>
    <w:rsid w:val="00E71500"/>
    <w:rsid w:val="00E7188D"/>
    <w:rsid w:val="00E71A44"/>
    <w:rsid w:val="00E71A7C"/>
    <w:rsid w:val="00E72036"/>
    <w:rsid w:val="00E723E9"/>
    <w:rsid w:val="00E72C94"/>
    <w:rsid w:val="00E72E3C"/>
    <w:rsid w:val="00E72F3F"/>
    <w:rsid w:val="00E7313F"/>
    <w:rsid w:val="00E732EB"/>
    <w:rsid w:val="00E73555"/>
    <w:rsid w:val="00E736BB"/>
    <w:rsid w:val="00E73A4E"/>
    <w:rsid w:val="00E73AD7"/>
    <w:rsid w:val="00E73CD7"/>
    <w:rsid w:val="00E73CE1"/>
    <w:rsid w:val="00E73FD9"/>
    <w:rsid w:val="00E74365"/>
    <w:rsid w:val="00E7447A"/>
    <w:rsid w:val="00E7481E"/>
    <w:rsid w:val="00E748CC"/>
    <w:rsid w:val="00E74BC3"/>
    <w:rsid w:val="00E74D9E"/>
    <w:rsid w:val="00E74F06"/>
    <w:rsid w:val="00E759A6"/>
    <w:rsid w:val="00E75D49"/>
    <w:rsid w:val="00E765E3"/>
    <w:rsid w:val="00E76F63"/>
    <w:rsid w:val="00E770B6"/>
    <w:rsid w:val="00E773FD"/>
    <w:rsid w:val="00E7748F"/>
    <w:rsid w:val="00E778F6"/>
    <w:rsid w:val="00E7794F"/>
    <w:rsid w:val="00E77A8B"/>
    <w:rsid w:val="00E80166"/>
    <w:rsid w:val="00E80368"/>
    <w:rsid w:val="00E8043E"/>
    <w:rsid w:val="00E804B1"/>
    <w:rsid w:val="00E80743"/>
    <w:rsid w:val="00E8085E"/>
    <w:rsid w:val="00E80944"/>
    <w:rsid w:val="00E80A5E"/>
    <w:rsid w:val="00E81294"/>
    <w:rsid w:val="00E81421"/>
    <w:rsid w:val="00E8143A"/>
    <w:rsid w:val="00E819DD"/>
    <w:rsid w:val="00E82083"/>
    <w:rsid w:val="00E829B3"/>
    <w:rsid w:val="00E82D71"/>
    <w:rsid w:val="00E82F8D"/>
    <w:rsid w:val="00E83300"/>
    <w:rsid w:val="00E83483"/>
    <w:rsid w:val="00E83734"/>
    <w:rsid w:val="00E837E6"/>
    <w:rsid w:val="00E83AB7"/>
    <w:rsid w:val="00E83D5E"/>
    <w:rsid w:val="00E83D70"/>
    <w:rsid w:val="00E83E62"/>
    <w:rsid w:val="00E84189"/>
    <w:rsid w:val="00E8480C"/>
    <w:rsid w:val="00E85055"/>
    <w:rsid w:val="00E85925"/>
    <w:rsid w:val="00E85ADF"/>
    <w:rsid w:val="00E85C8D"/>
    <w:rsid w:val="00E8649A"/>
    <w:rsid w:val="00E8690F"/>
    <w:rsid w:val="00E86914"/>
    <w:rsid w:val="00E86918"/>
    <w:rsid w:val="00E86D19"/>
    <w:rsid w:val="00E8771C"/>
    <w:rsid w:val="00E879A5"/>
    <w:rsid w:val="00E87DE0"/>
    <w:rsid w:val="00E900E0"/>
    <w:rsid w:val="00E90731"/>
    <w:rsid w:val="00E90754"/>
    <w:rsid w:val="00E90869"/>
    <w:rsid w:val="00E909AD"/>
    <w:rsid w:val="00E909FA"/>
    <w:rsid w:val="00E90B93"/>
    <w:rsid w:val="00E90E36"/>
    <w:rsid w:val="00E9129A"/>
    <w:rsid w:val="00E912DE"/>
    <w:rsid w:val="00E915A3"/>
    <w:rsid w:val="00E918ED"/>
    <w:rsid w:val="00E91CDB"/>
    <w:rsid w:val="00E9231D"/>
    <w:rsid w:val="00E92456"/>
    <w:rsid w:val="00E92962"/>
    <w:rsid w:val="00E934A2"/>
    <w:rsid w:val="00E93B1B"/>
    <w:rsid w:val="00E93F9E"/>
    <w:rsid w:val="00E94E64"/>
    <w:rsid w:val="00E951FF"/>
    <w:rsid w:val="00E955A2"/>
    <w:rsid w:val="00E957F0"/>
    <w:rsid w:val="00E95B8F"/>
    <w:rsid w:val="00E95C7D"/>
    <w:rsid w:val="00E96DE4"/>
    <w:rsid w:val="00E9701B"/>
    <w:rsid w:val="00E970B8"/>
    <w:rsid w:val="00E970E0"/>
    <w:rsid w:val="00E97321"/>
    <w:rsid w:val="00E97927"/>
    <w:rsid w:val="00E97C55"/>
    <w:rsid w:val="00E97F22"/>
    <w:rsid w:val="00EA0271"/>
    <w:rsid w:val="00EA0363"/>
    <w:rsid w:val="00EA0834"/>
    <w:rsid w:val="00EA084C"/>
    <w:rsid w:val="00EA0ACD"/>
    <w:rsid w:val="00EA0B97"/>
    <w:rsid w:val="00EA0DD7"/>
    <w:rsid w:val="00EA1130"/>
    <w:rsid w:val="00EA18ED"/>
    <w:rsid w:val="00EA1A64"/>
    <w:rsid w:val="00EA1B9C"/>
    <w:rsid w:val="00EA1C26"/>
    <w:rsid w:val="00EA200A"/>
    <w:rsid w:val="00EA20DE"/>
    <w:rsid w:val="00EA2202"/>
    <w:rsid w:val="00EA250C"/>
    <w:rsid w:val="00EA2B53"/>
    <w:rsid w:val="00EA2E0D"/>
    <w:rsid w:val="00EA2FC7"/>
    <w:rsid w:val="00EA3183"/>
    <w:rsid w:val="00EA32F9"/>
    <w:rsid w:val="00EA331D"/>
    <w:rsid w:val="00EA355A"/>
    <w:rsid w:val="00EA3A75"/>
    <w:rsid w:val="00EA3F43"/>
    <w:rsid w:val="00EA46F3"/>
    <w:rsid w:val="00EA47DE"/>
    <w:rsid w:val="00EA4A44"/>
    <w:rsid w:val="00EA4D7E"/>
    <w:rsid w:val="00EA5BF0"/>
    <w:rsid w:val="00EA5C11"/>
    <w:rsid w:val="00EA5DA9"/>
    <w:rsid w:val="00EA6528"/>
    <w:rsid w:val="00EA6752"/>
    <w:rsid w:val="00EA68F2"/>
    <w:rsid w:val="00EA699F"/>
    <w:rsid w:val="00EA69D8"/>
    <w:rsid w:val="00EA6DC2"/>
    <w:rsid w:val="00EA76F9"/>
    <w:rsid w:val="00EA7A7E"/>
    <w:rsid w:val="00EA7CCF"/>
    <w:rsid w:val="00EB00F0"/>
    <w:rsid w:val="00EB04AF"/>
    <w:rsid w:val="00EB06EA"/>
    <w:rsid w:val="00EB0CC1"/>
    <w:rsid w:val="00EB0E54"/>
    <w:rsid w:val="00EB0E7A"/>
    <w:rsid w:val="00EB1247"/>
    <w:rsid w:val="00EB1320"/>
    <w:rsid w:val="00EB1DC0"/>
    <w:rsid w:val="00EB207C"/>
    <w:rsid w:val="00EB2352"/>
    <w:rsid w:val="00EB2CF5"/>
    <w:rsid w:val="00EB329C"/>
    <w:rsid w:val="00EB34AD"/>
    <w:rsid w:val="00EB38C9"/>
    <w:rsid w:val="00EB3995"/>
    <w:rsid w:val="00EB3B8D"/>
    <w:rsid w:val="00EB469E"/>
    <w:rsid w:val="00EB47E2"/>
    <w:rsid w:val="00EB486A"/>
    <w:rsid w:val="00EB4C24"/>
    <w:rsid w:val="00EB4EB0"/>
    <w:rsid w:val="00EB4FB2"/>
    <w:rsid w:val="00EB56EA"/>
    <w:rsid w:val="00EB58BD"/>
    <w:rsid w:val="00EB59D1"/>
    <w:rsid w:val="00EB6A11"/>
    <w:rsid w:val="00EB6DEC"/>
    <w:rsid w:val="00EB7171"/>
    <w:rsid w:val="00EB71F5"/>
    <w:rsid w:val="00EB7A71"/>
    <w:rsid w:val="00EB7C7D"/>
    <w:rsid w:val="00EC009E"/>
    <w:rsid w:val="00EC01D1"/>
    <w:rsid w:val="00EC03CC"/>
    <w:rsid w:val="00EC06D1"/>
    <w:rsid w:val="00EC0700"/>
    <w:rsid w:val="00EC0A0D"/>
    <w:rsid w:val="00EC0A80"/>
    <w:rsid w:val="00EC0AD3"/>
    <w:rsid w:val="00EC0CC1"/>
    <w:rsid w:val="00EC0E78"/>
    <w:rsid w:val="00EC0E90"/>
    <w:rsid w:val="00EC0FFC"/>
    <w:rsid w:val="00EC1A93"/>
    <w:rsid w:val="00EC1CAC"/>
    <w:rsid w:val="00EC1CAE"/>
    <w:rsid w:val="00EC24F3"/>
    <w:rsid w:val="00EC2E7A"/>
    <w:rsid w:val="00EC3547"/>
    <w:rsid w:val="00EC36C0"/>
    <w:rsid w:val="00EC4048"/>
    <w:rsid w:val="00EC52F3"/>
    <w:rsid w:val="00EC5A7F"/>
    <w:rsid w:val="00EC5BEF"/>
    <w:rsid w:val="00EC62FA"/>
    <w:rsid w:val="00EC6FC9"/>
    <w:rsid w:val="00EC70B9"/>
    <w:rsid w:val="00EC7186"/>
    <w:rsid w:val="00EC71A3"/>
    <w:rsid w:val="00EC71E7"/>
    <w:rsid w:val="00EC7374"/>
    <w:rsid w:val="00EC749B"/>
    <w:rsid w:val="00EC7AAB"/>
    <w:rsid w:val="00EC7B7F"/>
    <w:rsid w:val="00EC7E78"/>
    <w:rsid w:val="00ED09F6"/>
    <w:rsid w:val="00ED0F47"/>
    <w:rsid w:val="00ED0F9C"/>
    <w:rsid w:val="00ED0FA5"/>
    <w:rsid w:val="00ED0FE5"/>
    <w:rsid w:val="00ED1A65"/>
    <w:rsid w:val="00ED1ADF"/>
    <w:rsid w:val="00ED1C3E"/>
    <w:rsid w:val="00ED1ED4"/>
    <w:rsid w:val="00ED2596"/>
    <w:rsid w:val="00ED2DD2"/>
    <w:rsid w:val="00ED2E33"/>
    <w:rsid w:val="00ED3024"/>
    <w:rsid w:val="00ED318C"/>
    <w:rsid w:val="00ED3904"/>
    <w:rsid w:val="00ED3E7F"/>
    <w:rsid w:val="00ED3F1F"/>
    <w:rsid w:val="00ED3F35"/>
    <w:rsid w:val="00ED3F92"/>
    <w:rsid w:val="00ED41C1"/>
    <w:rsid w:val="00ED4768"/>
    <w:rsid w:val="00ED4817"/>
    <w:rsid w:val="00ED4883"/>
    <w:rsid w:val="00ED4E21"/>
    <w:rsid w:val="00ED5009"/>
    <w:rsid w:val="00ED5257"/>
    <w:rsid w:val="00ED5BC0"/>
    <w:rsid w:val="00ED6D46"/>
    <w:rsid w:val="00ED7081"/>
    <w:rsid w:val="00ED71B6"/>
    <w:rsid w:val="00ED7648"/>
    <w:rsid w:val="00ED7807"/>
    <w:rsid w:val="00ED7964"/>
    <w:rsid w:val="00ED7D54"/>
    <w:rsid w:val="00EE002B"/>
    <w:rsid w:val="00EE01FC"/>
    <w:rsid w:val="00EE09CC"/>
    <w:rsid w:val="00EE0D6D"/>
    <w:rsid w:val="00EE0E14"/>
    <w:rsid w:val="00EE0F25"/>
    <w:rsid w:val="00EE174D"/>
    <w:rsid w:val="00EE1B65"/>
    <w:rsid w:val="00EE23C8"/>
    <w:rsid w:val="00EE2488"/>
    <w:rsid w:val="00EE3483"/>
    <w:rsid w:val="00EE3547"/>
    <w:rsid w:val="00EE377D"/>
    <w:rsid w:val="00EE3B80"/>
    <w:rsid w:val="00EE3C8C"/>
    <w:rsid w:val="00EE3FBF"/>
    <w:rsid w:val="00EE4164"/>
    <w:rsid w:val="00EE4277"/>
    <w:rsid w:val="00EE46E1"/>
    <w:rsid w:val="00EE4A98"/>
    <w:rsid w:val="00EE5035"/>
    <w:rsid w:val="00EE51E2"/>
    <w:rsid w:val="00EE547A"/>
    <w:rsid w:val="00EE5D0A"/>
    <w:rsid w:val="00EE6198"/>
    <w:rsid w:val="00EE6575"/>
    <w:rsid w:val="00EE65C8"/>
    <w:rsid w:val="00EE679F"/>
    <w:rsid w:val="00EE6C0E"/>
    <w:rsid w:val="00EE7114"/>
    <w:rsid w:val="00EE7AD0"/>
    <w:rsid w:val="00EE7E65"/>
    <w:rsid w:val="00EE7F15"/>
    <w:rsid w:val="00EE7FCF"/>
    <w:rsid w:val="00EF0591"/>
    <w:rsid w:val="00EF0D50"/>
    <w:rsid w:val="00EF0E10"/>
    <w:rsid w:val="00EF0F45"/>
    <w:rsid w:val="00EF111F"/>
    <w:rsid w:val="00EF1120"/>
    <w:rsid w:val="00EF18AE"/>
    <w:rsid w:val="00EF1A23"/>
    <w:rsid w:val="00EF1B0F"/>
    <w:rsid w:val="00EF2076"/>
    <w:rsid w:val="00EF2682"/>
    <w:rsid w:val="00EF268C"/>
    <w:rsid w:val="00EF2972"/>
    <w:rsid w:val="00EF2AFB"/>
    <w:rsid w:val="00EF2C4C"/>
    <w:rsid w:val="00EF399A"/>
    <w:rsid w:val="00EF3CED"/>
    <w:rsid w:val="00EF3D61"/>
    <w:rsid w:val="00EF3F4E"/>
    <w:rsid w:val="00EF42E4"/>
    <w:rsid w:val="00EF4302"/>
    <w:rsid w:val="00EF4318"/>
    <w:rsid w:val="00EF4A3E"/>
    <w:rsid w:val="00EF5120"/>
    <w:rsid w:val="00EF5610"/>
    <w:rsid w:val="00EF58B6"/>
    <w:rsid w:val="00EF5CDD"/>
    <w:rsid w:val="00EF5F52"/>
    <w:rsid w:val="00EF6089"/>
    <w:rsid w:val="00EF6125"/>
    <w:rsid w:val="00EF69D7"/>
    <w:rsid w:val="00EF6DCF"/>
    <w:rsid w:val="00EF6EB5"/>
    <w:rsid w:val="00EF720D"/>
    <w:rsid w:val="00EF750A"/>
    <w:rsid w:val="00EF778F"/>
    <w:rsid w:val="00EF79E5"/>
    <w:rsid w:val="00EF7C73"/>
    <w:rsid w:val="00F00482"/>
    <w:rsid w:val="00F005FD"/>
    <w:rsid w:val="00F007D6"/>
    <w:rsid w:val="00F00833"/>
    <w:rsid w:val="00F008AE"/>
    <w:rsid w:val="00F00C16"/>
    <w:rsid w:val="00F00C35"/>
    <w:rsid w:val="00F0128C"/>
    <w:rsid w:val="00F018AA"/>
    <w:rsid w:val="00F01988"/>
    <w:rsid w:val="00F01B08"/>
    <w:rsid w:val="00F01C11"/>
    <w:rsid w:val="00F02206"/>
    <w:rsid w:val="00F02750"/>
    <w:rsid w:val="00F02BB7"/>
    <w:rsid w:val="00F0325C"/>
    <w:rsid w:val="00F03711"/>
    <w:rsid w:val="00F03969"/>
    <w:rsid w:val="00F039B9"/>
    <w:rsid w:val="00F03D0F"/>
    <w:rsid w:val="00F04192"/>
    <w:rsid w:val="00F04274"/>
    <w:rsid w:val="00F0496D"/>
    <w:rsid w:val="00F05208"/>
    <w:rsid w:val="00F057B0"/>
    <w:rsid w:val="00F061DA"/>
    <w:rsid w:val="00F0621C"/>
    <w:rsid w:val="00F067A5"/>
    <w:rsid w:val="00F068EA"/>
    <w:rsid w:val="00F06E62"/>
    <w:rsid w:val="00F072F7"/>
    <w:rsid w:val="00F0730D"/>
    <w:rsid w:val="00F0739E"/>
    <w:rsid w:val="00F0769E"/>
    <w:rsid w:val="00F07738"/>
    <w:rsid w:val="00F07834"/>
    <w:rsid w:val="00F07C79"/>
    <w:rsid w:val="00F07F78"/>
    <w:rsid w:val="00F103AC"/>
    <w:rsid w:val="00F1092C"/>
    <w:rsid w:val="00F109CE"/>
    <w:rsid w:val="00F10DF7"/>
    <w:rsid w:val="00F10DFE"/>
    <w:rsid w:val="00F11311"/>
    <w:rsid w:val="00F11915"/>
    <w:rsid w:val="00F11992"/>
    <w:rsid w:val="00F11C20"/>
    <w:rsid w:val="00F1295D"/>
    <w:rsid w:val="00F12F3A"/>
    <w:rsid w:val="00F1315D"/>
    <w:rsid w:val="00F133A4"/>
    <w:rsid w:val="00F13C7A"/>
    <w:rsid w:val="00F13E6D"/>
    <w:rsid w:val="00F14370"/>
    <w:rsid w:val="00F1456B"/>
    <w:rsid w:val="00F14AEE"/>
    <w:rsid w:val="00F14F94"/>
    <w:rsid w:val="00F15103"/>
    <w:rsid w:val="00F15837"/>
    <w:rsid w:val="00F15E42"/>
    <w:rsid w:val="00F163F0"/>
    <w:rsid w:val="00F16765"/>
    <w:rsid w:val="00F1696F"/>
    <w:rsid w:val="00F169B6"/>
    <w:rsid w:val="00F16A65"/>
    <w:rsid w:val="00F16AB5"/>
    <w:rsid w:val="00F16DF5"/>
    <w:rsid w:val="00F16F79"/>
    <w:rsid w:val="00F170F1"/>
    <w:rsid w:val="00F17144"/>
    <w:rsid w:val="00F173A2"/>
    <w:rsid w:val="00F1756E"/>
    <w:rsid w:val="00F17E7D"/>
    <w:rsid w:val="00F2006F"/>
    <w:rsid w:val="00F200E4"/>
    <w:rsid w:val="00F2018C"/>
    <w:rsid w:val="00F20A06"/>
    <w:rsid w:val="00F20FD1"/>
    <w:rsid w:val="00F21244"/>
    <w:rsid w:val="00F213DC"/>
    <w:rsid w:val="00F2143D"/>
    <w:rsid w:val="00F218DC"/>
    <w:rsid w:val="00F21C63"/>
    <w:rsid w:val="00F21DBE"/>
    <w:rsid w:val="00F21E75"/>
    <w:rsid w:val="00F22289"/>
    <w:rsid w:val="00F2237E"/>
    <w:rsid w:val="00F223F9"/>
    <w:rsid w:val="00F22646"/>
    <w:rsid w:val="00F22A7C"/>
    <w:rsid w:val="00F22DA2"/>
    <w:rsid w:val="00F234C1"/>
    <w:rsid w:val="00F234F3"/>
    <w:rsid w:val="00F23633"/>
    <w:rsid w:val="00F23C5C"/>
    <w:rsid w:val="00F2400F"/>
    <w:rsid w:val="00F240E4"/>
    <w:rsid w:val="00F24C48"/>
    <w:rsid w:val="00F24C8C"/>
    <w:rsid w:val="00F24F5F"/>
    <w:rsid w:val="00F25504"/>
    <w:rsid w:val="00F25842"/>
    <w:rsid w:val="00F25996"/>
    <w:rsid w:val="00F259FF"/>
    <w:rsid w:val="00F25D5E"/>
    <w:rsid w:val="00F26185"/>
    <w:rsid w:val="00F263A7"/>
    <w:rsid w:val="00F263FE"/>
    <w:rsid w:val="00F26C6E"/>
    <w:rsid w:val="00F271F4"/>
    <w:rsid w:val="00F27780"/>
    <w:rsid w:val="00F27CBF"/>
    <w:rsid w:val="00F27D7B"/>
    <w:rsid w:val="00F3008F"/>
    <w:rsid w:val="00F30705"/>
    <w:rsid w:val="00F30A75"/>
    <w:rsid w:val="00F311E6"/>
    <w:rsid w:val="00F3153E"/>
    <w:rsid w:val="00F31A45"/>
    <w:rsid w:val="00F31C77"/>
    <w:rsid w:val="00F322CA"/>
    <w:rsid w:val="00F32662"/>
    <w:rsid w:val="00F32963"/>
    <w:rsid w:val="00F329F9"/>
    <w:rsid w:val="00F32C4E"/>
    <w:rsid w:val="00F333FA"/>
    <w:rsid w:val="00F33498"/>
    <w:rsid w:val="00F3363B"/>
    <w:rsid w:val="00F33BBB"/>
    <w:rsid w:val="00F33BBE"/>
    <w:rsid w:val="00F3409B"/>
    <w:rsid w:val="00F34583"/>
    <w:rsid w:val="00F347A2"/>
    <w:rsid w:val="00F34AFE"/>
    <w:rsid w:val="00F35002"/>
    <w:rsid w:val="00F35388"/>
    <w:rsid w:val="00F356B3"/>
    <w:rsid w:val="00F361C9"/>
    <w:rsid w:val="00F36295"/>
    <w:rsid w:val="00F3691E"/>
    <w:rsid w:val="00F3695D"/>
    <w:rsid w:val="00F36B54"/>
    <w:rsid w:val="00F36C93"/>
    <w:rsid w:val="00F372B8"/>
    <w:rsid w:val="00F37602"/>
    <w:rsid w:val="00F37C10"/>
    <w:rsid w:val="00F4013E"/>
    <w:rsid w:val="00F40245"/>
    <w:rsid w:val="00F404F3"/>
    <w:rsid w:val="00F4071C"/>
    <w:rsid w:val="00F40949"/>
    <w:rsid w:val="00F40A31"/>
    <w:rsid w:val="00F4128E"/>
    <w:rsid w:val="00F415FC"/>
    <w:rsid w:val="00F41ABA"/>
    <w:rsid w:val="00F41C86"/>
    <w:rsid w:val="00F41D1D"/>
    <w:rsid w:val="00F41F35"/>
    <w:rsid w:val="00F420C5"/>
    <w:rsid w:val="00F422C5"/>
    <w:rsid w:val="00F424E5"/>
    <w:rsid w:val="00F425E2"/>
    <w:rsid w:val="00F42CCE"/>
    <w:rsid w:val="00F42DD0"/>
    <w:rsid w:val="00F43002"/>
    <w:rsid w:val="00F431FB"/>
    <w:rsid w:val="00F43535"/>
    <w:rsid w:val="00F4396D"/>
    <w:rsid w:val="00F43F96"/>
    <w:rsid w:val="00F44302"/>
    <w:rsid w:val="00F444E8"/>
    <w:rsid w:val="00F4462E"/>
    <w:rsid w:val="00F44758"/>
    <w:rsid w:val="00F44B01"/>
    <w:rsid w:val="00F44E33"/>
    <w:rsid w:val="00F44FC8"/>
    <w:rsid w:val="00F45D27"/>
    <w:rsid w:val="00F4627C"/>
    <w:rsid w:val="00F46295"/>
    <w:rsid w:val="00F46580"/>
    <w:rsid w:val="00F46856"/>
    <w:rsid w:val="00F46AC7"/>
    <w:rsid w:val="00F46EF2"/>
    <w:rsid w:val="00F470FF"/>
    <w:rsid w:val="00F475EB"/>
    <w:rsid w:val="00F47715"/>
    <w:rsid w:val="00F478A3"/>
    <w:rsid w:val="00F47A1F"/>
    <w:rsid w:val="00F47D12"/>
    <w:rsid w:val="00F47F8D"/>
    <w:rsid w:val="00F5027A"/>
    <w:rsid w:val="00F5029F"/>
    <w:rsid w:val="00F50320"/>
    <w:rsid w:val="00F507C4"/>
    <w:rsid w:val="00F50E73"/>
    <w:rsid w:val="00F515A2"/>
    <w:rsid w:val="00F51855"/>
    <w:rsid w:val="00F51B53"/>
    <w:rsid w:val="00F51D07"/>
    <w:rsid w:val="00F51DC3"/>
    <w:rsid w:val="00F520CE"/>
    <w:rsid w:val="00F5276A"/>
    <w:rsid w:val="00F5281D"/>
    <w:rsid w:val="00F52ADE"/>
    <w:rsid w:val="00F52AEF"/>
    <w:rsid w:val="00F52DEF"/>
    <w:rsid w:val="00F5391A"/>
    <w:rsid w:val="00F53A89"/>
    <w:rsid w:val="00F53ACB"/>
    <w:rsid w:val="00F53C8C"/>
    <w:rsid w:val="00F53E24"/>
    <w:rsid w:val="00F53F2D"/>
    <w:rsid w:val="00F54BF4"/>
    <w:rsid w:val="00F54E9B"/>
    <w:rsid w:val="00F54F1D"/>
    <w:rsid w:val="00F553DA"/>
    <w:rsid w:val="00F5589F"/>
    <w:rsid w:val="00F55BDE"/>
    <w:rsid w:val="00F55C41"/>
    <w:rsid w:val="00F55DCB"/>
    <w:rsid w:val="00F56D25"/>
    <w:rsid w:val="00F576E5"/>
    <w:rsid w:val="00F57786"/>
    <w:rsid w:val="00F57C48"/>
    <w:rsid w:val="00F57CF6"/>
    <w:rsid w:val="00F606B3"/>
    <w:rsid w:val="00F60791"/>
    <w:rsid w:val="00F607B0"/>
    <w:rsid w:val="00F60E35"/>
    <w:rsid w:val="00F60E46"/>
    <w:rsid w:val="00F60FC7"/>
    <w:rsid w:val="00F61209"/>
    <w:rsid w:val="00F61298"/>
    <w:rsid w:val="00F615F6"/>
    <w:rsid w:val="00F617AD"/>
    <w:rsid w:val="00F6184E"/>
    <w:rsid w:val="00F61923"/>
    <w:rsid w:val="00F61FC0"/>
    <w:rsid w:val="00F62043"/>
    <w:rsid w:val="00F623C1"/>
    <w:rsid w:val="00F6254E"/>
    <w:rsid w:val="00F6260E"/>
    <w:rsid w:val="00F62718"/>
    <w:rsid w:val="00F62790"/>
    <w:rsid w:val="00F6292A"/>
    <w:rsid w:val="00F62C42"/>
    <w:rsid w:val="00F62DC0"/>
    <w:rsid w:val="00F630DD"/>
    <w:rsid w:val="00F6330A"/>
    <w:rsid w:val="00F635F8"/>
    <w:rsid w:val="00F64E66"/>
    <w:rsid w:val="00F6552C"/>
    <w:rsid w:val="00F65B17"/>
    <w:rsid w:val="00F65B70"/>
    <w:rsid w:val="00F65F49"/>
    <w:rsid w:val="00F664C9"/>
    <w:rsid w:val="00F6678D"/>
    <w:rsid w:val="00F67418"/>
    <w:rsid w:val="00F67560"/>
    <w:rsid w:val="00F67CA4"/>
    <w:rsid w:val="00F70240"/>
    <w:rsid w:val="00F7051D"/>
    <w:rsid w:val="00F706A0"/>
    <w:rsid w:val="00F70A5E"/>
    <w:rsid w:val="00F71222"/>
    <w:rsid w:val="00F7128D"/>
    <w:rsid w:val="00F712A6"/>
    <w:rsid w:val="00F71571"/>
    <w:rsid w:val="00F7189E"/>
    <w:rsid w:val="00F71BEC"/>
    <w:rsid w:val="00F71CE3"/>
    <w:rsid w:val="00F71D1E"/>
    <w:rsid w:val="00F71E4B"/>
    <w:rsid w:val="00F71F4C"/>
    <w:rsid w:val="00F72A9F"/>
    <w:rsid w:val="00F72E01"/>
    <w:rsid w:val="00F72F05"/>
    <w:rsid w:val="00F73668"/>
    <w:rsid w:val="00F7380B"/>
    <w:rsid w:val="00F739EE"/>
    <w:rsid w:val="00F73EE1"/>
    <w:rsid w:val="00F740DE"/>
    <w:rsid w:val="00F741AB"/>
    <w:rsid w:val="00F74667"/>
    <w:rsid w:val="00F7467F"/>
    <w:rsid w:val="00F747A5"/>
    <w:rsid w:val="00F74F44"/>
    <w:rsid w:val="00F755AD"/>
    <w:rsid w:val="00F7560C"/>
    <w:rsid w:val="00F75F5F"/>
    <w:rsid w:val="00F7698F"/>
    <w:rsid w:val="00F76D76"/>
    <w:rsid w:val="00F7719B"/>
    <w:rsid w:val="00F77522"/>
    <w:rsid w:val="00F8007E"/>
    <w:rsid w:val="00F800C7"/>
    <w:rsid w:val="00F8017F"/>
    <w:rsid w:val="00F80219"/>
    <w:rsid w:val="00F80294"/>
    <w:rsid w:val="00F804E3"/>
    <w:rsid w:val="00F80A1B"/>
    <w:rsid w:val="00F80B02"/>
    <w:rsid w:val="00F80C24"/>
    <w:rsid w:val="00F80D40"/>
    <w:rsid w:val="00F8124E"/>
    <w:rsid w:val="00F8134F"/>
    <w:rsid w:val="00F81985"/>
    <w:rsid w:val="00F81C62"/>
    <w:rsid w:val="00F81C8A"/>
    <w:rsid w:val="00F81D12"/>
    <w:rsid w:val="00F8263E"/>
    <w:rsid w:val="00F82C58"/>
    <w:rsid w:val="00F82D84"/>
    <w:rsid w:val="00F830D6"/>
    <w:rsid w:val="00F83599"/>
    <w:rsid w:val="00F83683"/>
    <w:rsid w:val="00F838CD"/>
    <w:rsid w:val="00F83B2D"/>
    <w:rsid w:val="00F83B36"/>
    <w:rsid w:val="00F83F78"/>
    <w:rsid w:val="00F8456D"/>
    <w:rsid w:val="00F84805"/>
    <w:rsid w:val="00F848CE"/>
    <w:rsid w:val="00F84A0B"/>
    <w:rsid w:val="00F84AA6"/>
    <w:rsid w:val="00F84B9F"/>
    <w:rsid w:val="00F84BAB"/>
    <w:rsid w:val="00F84C56"/>
    <w:rsid w:val="00F84CFF"/>
    <w:rsid w:val="00F84D58"/>
    <w:rsid w:val="00F84E15"/>
    <w:rsid w:val="00F8593D"/>
    <w:rsid w:val="00F85FE6"/>
    <w:rsid w:val="00F86192"/>
    <w:rsid w:val="00F861A2"/>
    <w:rsid w:val="00F8637A"/>
    <w:rsid w:val="00F86516"/>
    <w:rsid w:val="00F86CFF"/>
    <w:rsid w:val="00F86D56"/>
    <w:rsid w:val="00F873C6"/>
    <w:rsid w:val="00F87450"/>
    <w:rsid w:val="00F8760E"/>
    <w:rsid w:val="00F87847"/>
    <w:rsid w:val="00F87D0B"/>
    <w:rsid w:val="00F900A8"/>
    <w:rsid w:val="00F90631"/>
    <w:rsid w:val="00F909B3"/>
    <w:rsid w:val="00F90D61"/>
    <w:rsid w:val="00F90EA6"/>
    <w:rsid w:val="00F91758"/>
    <w:rsid w:val="00F91923"/>
    <w:rsid w:val="00F9208C"/>
    <w:rsid w:val="00F92171"/>
    <w:rsid w:val="00F9227E"/>
    <w:rsid w:val="00F93103"/>
    <w:rsid w:val="00F9352B"/>
    <w:rsid w:val="00F93942"/>
    <w:rsid w:val="00F93AE1"/>
    <w:rsid w:val="00F93B5E"/>
    <w:rsid w:val="00F93C4D"/>
    <w:rsid w:val="00F93D79"/>
    <w:rsid w:val="00F93EA4"/>
    <w:rsid w:val="00F9404E"/>
    <w:rsid w:val="00F94248"/>
    <w:rsid w:val="00F9445D"/>
    <w:rsid w:val="00F94643"/>
    <w:rsid w:val="00F94731"/>
    <w:rsid w:val="00F94B4B"/>
    <w:rsid w:val="00F94B74"/>
    <w:rsid w:val="00F952B0"/>
    <w:rsid w:val="00F95929"/>
    <w:rsid w:val="00F95D06"/>
    <w:rsid w:val="00F95E4F"/>
    <w:rsid w:val="00F966D3"/>
    <w:rsid w:val="00F966EC"/>
    <w:rsid w:val="00F970D3"/>
    <w:rsid w:val="00F97354"/>
    <w:rsid w:val="00F9746D"/>
    <w:rsid w:val="00F9762F"/>
    <w:rsid w:val="00F977D3"/>
    <w:rsid w:val="00FA032B"/>
    <w:rsid w:val="00FA04A3"/>
    <w:rsid w:val="00FA0CAA"/>
    <w:rsid w:val="00FA13C0"/>
    <w:rsid w:val="00FA150B"/>
    <w:rsid w:val="00FA1A21"/>
    <w:rsid w:val="00FA1D13"/>
    <w:rsid w:val="00FA1FEE"/>
    <w:rsid w:val="00FA2411"/>
    <w:rsid w:val="00FA24F3"/>
    <w:rsid w:val="00FA2B02"/>
    <w:rsid w:val="00FA2B23"/>
    <w:rsid w:val="00FA2C7F"/>
    <w:rsid w:val="00FA2CD2"/>
    <w:rsid w:val="00FA2F24"/>
    <w:rsid w:val="00FA2F51"/>
    <w:rsid w:val="00FA3163"/>
    <w:rsid w:val="00FA3292"/>
    <w:rsid w:val="00FA334D"/>
    <w:rsid w:val="00FA385E"/>
    <w:rsid w:val="00FA3F83"/>
    <w:rsid w:val="00FA46F4"/>
    <w:rsid w:val="00FA4A9F"/>
    <w:rsid w:val="00FA4C51"/>
    <w:rsid w:val="00FA4CE6"/>
    <w:rsid w:val="00FA4E35"/>
    <w:rsid w:val="00FA55CE"/>
    <w:rsid w:val="00FA5737"/>
    <w:rsid w:val="00FA66D0"/>
    <w:rsid w:val="00FA7303"/>
    <w:rsid w:val="00FA7AE0"/>
    <w:rsid w:val="00FA7C9E"/>
    <w:rsid w:val="00FB0098"/>
    <w:rsid w:val="00FB0996"/>
    <w:rsid w:val="00FB0E7E"/>
    <w:rsid w:val="00FB0EF7"/>
    <w:rsid w:val="00FB0F3D"/>
    <w:rsid w:val="00FB1115"/>
    <w:rsid w:val="00FB15CC"/>
    <w:rsid w:val="00FB1AFE"/>
    <w:rsid w:val="00FB1BFA"/>
    <w:rsid w:val="00FB2681"/>
    <w:rsid w:val="00FB2C4F"/>
    <w:rsid w:val="00FB3018"/>
    <w:rsid w:val="00FB33A5"/>
    <w:rsid w:val="00FB36C6"/>
    <w:rsid w:val="00FB3F4B"/>
    <w:rsid w:val="00FB4AE4"/>
    <w:rsid w:val="00FB4EB0"/>
    <w:rsid w:val="00FB5222"/>
    <w:rsid w:val="00FB5340"/>
    <w:rsid w:val="00FB5627"/>
    <w:rsid w:val="00FB562C"/>
    <w:rsid w:val="00FB5C54"/>
    <w:rsid w:val="00FB609C"/>
    <w:rsid w:val="00FB6602"/>
    <w:rsid w:val="00FB76C5"/>
    <w:rsid w:val="00FB7707"/>
    <w:rsid w:val="00FB7AC7"/>
    <w:rsid w:val="00FB7E57"/>
    <w:rsid w:val="00FC0493"/>
    <w:rsid w:val="00FC0901"/>
    <w:rsid w:val="00FC0AB6"/>
    <w:rsid w:val="00FC0BD6"/>
    <w:rsid w:val="00FC1101"/>
    <w:rsid w:val="00FC12AF"/>
    <w:rsid w:val="00FC13FB"/>
    <w:rsid w:val="00FC17E1"/>
    <w:rsid w:val="00FC2506"/>
    <w:rsid w:val="00FC296B"/>
    <w:rsid w:val="00FC3205"/>
    <w:rsid w:val="00FC3655"/>
    <w:rsid w:val="00FC396E"/>
    <w:rsid w:val="00FC3A4E"/>
    <w:rsid w:val="00FC3E82"/>
    <w:rsid w:val="00FC410C"/>
    <w:rsid w:val="00FC4A6E"/>
    <w:rsid w:val="00FC4FD3"/>
    <w:rsid w:val="00FC5554"/>
    <w:rsid w:val="00FC56D0"/>
    <w:rsid w:val="00FC57E3"/>
    <w:rsid w:val="00FC5992"/>
    <w:rsid w:val="00FC5F0D"/>
    <w:rsid w:val="00FC6024"/>
    <w:rsid w:val="00FC630D"/>
    <w:rsid w:val="00FC6CE8"/>
    <w:rsid w:val="00FC6E4A"/>
    <w:rsid w:val="00FC7068"/>
    <w:rsid w:val="00FC7400"/>
    <w:rsid w:val="00FC76E5"/>
    <w:rsid w:val="00FC796C"/>
    <w:rsid w:val="00FC7C27"/>
    <w:rsid w:val="00FC7EEE"/>
    <w:rsid w:val="00FD02D7"/>
    <w:rsid w:val="00FD0651"/>
    <w:rsid w:val="00FD0AA7"/>
    <w:rsid w:val="00FD0B94"/>
    <w:rsid w:val="00FD0D9D"/>
    <w:rsid w:val="00FD0FE1"/>
    <w:rsid w:val="00FD1448"/>
    <w:rsid w:val="00FD1A60"/>
    <w:rsid w:val="00FD1CD1"/>
    <w:rsid w:val="00FD2C32"/>
    <w:rsid w:val="00FD313D"/>
    <w:rsid w:val="00FD383B"/>
    <w:rsid w:val="00FD39F5"/>
    <w:rsid w:val="00FD3CF6"/>
    <w:rsid w:val="00FD4578"/>
    <w:rsid w:val="00FD60C0"/>
    <w:rsid w:val="00FD62D0"/>
    <w:rsid w:val="00FD659F"/>
    <w:rsid w:val="00FD69A2"/>
    <w:rsid w:val="00FD6D13"/>
    <w:rsid w:val="00FD6D45"/>
    <w:rsid w:val="00FD6E9B"/>
    <w:rsid w:val="00FD6EF3"/>
    <w:rsid w:val="00FD71B8"/>
    <w:rsid w:val="00FD73CA"/>
    <w:rsid w:val="00FD767E"/>
    <w:rsid w:val="00FD7732"/>
    <w:rsid w:val="00FD7B34"/>
    <w:rsid w:val="00FE0006"/>
    <w:rsid w:val="00FE00BC"/>
    <w:rsid w:val="00FE027A"/>
    <w:rsid w:val="00FE0468"/>
    <w:rsid w:val="00FE0671"/>
    <w:rsid w:val="00FE0A59"/>
    <w:rsid w:val="00FE1108"/>
    <w:rsid w:val="00FE1224"/>
    <w:rsid w:val="00FE12B4"/>
    <w:rsid w:val="00FE1527"/>
    <w:rsid w:val="00FE1982"/>
    <w:rsid w:val="00FE1C00"/>
    <w:rsid w:val="00FE1C56"/>
    <w:rsid w:val="00FE1D38"/>
    <w:rsid w:val="00FE234F"/>
    <w:rsid w:val="00FE24B5"/>
    <w:rsid w:val="00FE2D90"/>
    <w:rsid w:val="00FE2EFF"/>
    <w:rsid w:val="00FE31CE"/>
    <w:rsid w:val="00FE34AE"/>
    <w:rsid w:val="00FE3DBF"/>
    <w:rsid w:val="00FE41F9"/>
    <w:rsid w:val="00FE44F7"/>
    <w:rsid w:val="00FE4AE2"/>
    <w:rsid w:val="00FE5A0D"/>
    <w:rsid w:val="00FE5B20"/>
    <w:rsid w:val="00FE5B24"/>
    <w:rsid w:val="00FE5C09"/>
    <w:rsid w:val="00FE6308"/>
    <w:rsid w:val="00FE68F8"/>
    <w:rsid w:val="00FE6B52"/>
    <w:rsid w:val="00FE723C"/>
    <w:rsid w:val="00FE7A02"/>
    <w:rsid w:val="00FE7B39"/>
    <w:rsid w:val="00FE7E88"/>
    <w:rsid w:val="00FE7F75"/>
    <w:rsid w:val="00FF0378"/>
    <w:rsid w:val="00FF08EB"/>
    <w:rsid w:val="00FF093B"/>
    <w:rsid w:val="00FF0C8A"/>
    <w:rsid w:val="00FF0F43"/>
    <w:rsid w:val="00FF10D2"/>
    <w:rsid w:val="00FF1567"/>
    <w:rsid w:val="00FF18BD"/>
    <w:rsid w:val="00FF1DE6"/>
    <w:rsid w:val="00FF1E46"/>
    <w:rsid w:val="00FF2455"/>
    <w:rsid w:val="00FF24AC"/>
    <w:rsid w:val="00FF25AF"/>
    <w:rsid w:val="00FF2756"/>
    <w:rsid w:val="00FF2A48"/>
    <w:rsid w:val="00FF2E5B"/>
    <w:rsid w:val="00FF30D8"/>
    <w:rsid w:val="00FF316E"/>
    <w:rsid w:val="00FF3294"/>
    <w:rsid w:val="00FF34A5"/>
    <w:rsid w:val="00FF3747"/>
    <w:rsid w:val="00FF3985"/>
    <w:rsid w:val="00FF3C82"/>
    <w:rsid w:val="00FF3EC7"/>
    <w:rsid w:val="00FF3F7B"/>
    <w:rsid w:val="00FF437E"/>
    <w:rsid w:val="00FF4AC8"/>
    <w:rsid w:val="00FF4FE9"/>
    <w:rsid w:val="00FF4FF7"/>
    <w:rsid w:val="00FF5236"/>
    <w:rsid w:val="00FF5375"/>
    <w:rsid w:val="00FF5779"/>
    <w:rsid w:val="00FF5B6C"/>
    <w:rsid w:val="00FF6138"/>
    <w:rsid w:val="00FF665B"/>
    <w:rsid w:val="00FF7416"/>
    <w:rsid w:val="00FF745D"/>
    <w:rsid w:val="00FF74B5"/>
    <w:rsid w:val="00FF7788"/>
    <w:rsid w:val="00FF7792"/>
    <w:rsid w:val="00FF79CF"/>
    <w:rsid w:val="00FF7BE6"/>
    <w:rsid w:val="00FF7F8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BD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unhideWhenUsed="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qFormat="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aliases w:val="UTS Normal"/>
    <w:qFormat/>
    <w:rsid w:val="009969D9"/>
    <w:pPr>
      <w:spacing w:before="0" w:after="0"/>
    </w:pPr>
    <w:rPr>
      <w:rFonts w:ascii="Calibri" w:hAnsi="Calibri"/>
      <w:sz w:val="18"/>
    </w:rPr>
  </w:style>
  <w:style w:type="paragraph" w:styleId="1">
    <w:name w:val="heading 1"/>
    <w:aliases w:val="UTS H1"/>
    <w:basedOn w:val="a2"/>
    <w:next w:val="a3"/>
    <w:link w:val="10"/>
    <w:uiPriority w:val="9"/>
    <w:qFormat/>
    <w:rsid w:val="00F46EF2"/>
    <w:pPr>
      <w:keepNext/>
      <w:keepLines/>
      <w:pageBreakBefore/>
      <w:widowControl w:val="0"/>
      <w:spacing w:after="240"/>
      <w:outlineLvl w:val="0"/>
    </w:pPr>
    <w:rPr>
      <w:rFonts w:ascii="Times New Roman" w:eastAsia="ＭＳ Ｐ明朝" w:hAnsi="Times New Roman" w:cs="Arial"/>
      <w:bCs/>
      <w:color w:val="000000" w:themeColor="text1"/>
      <w:sz w:val="21"/>
      <w:szCs w:val="32"/>
      <w:lang w:eastAsia="en-AU"/>
    </w:rPr>
  </w:style>
  <w:style w:type="paragraph" w:styleId="21">
    <w:name w:val="heading 2"/>
    <w:aliases w:val="UTS H2"/>
    <w:basedOn w:val="a2"/>
    <w:next w:val="a3"/>
    <w:link w:val="22"/>
    <w:qFormat/>
    <w:rsid w:val="00125407"/>
    <w:pPr>
      <w:keepNext/>
      <w:keepLines/>
      <w:spacing w:before="320" w:after="240"/>
      <w:outlineLvl w:val="1"/>
    </w:pPr>
    <w:rPr>
      <w:rFonts w:eastAsia="Times New Roman" w:cs="Arial"/>
      <w:b/>
      <w:bCs/>
      <w:iCs/>
      <w:sz w:val="30"/>
      <w:szCs w:val="28"/>
      <w:lang w:eastAsia="en-AU"/>
    </w:rPr>
  </w:style>
  <w:style w:type="paragraph" w:styleId="31">
    <w:name w:val="heading 3"/>
    <w:aliases w:val="UTS H3"/>
    <w:basedOn w:val="21"/>
    <w:next w:val="a3"/>
    <w:link w:val="32"/>
    <w:uiPriority w:val="9"/>
    <w:qFormat/>
    <w:rsid w:val="007B07E0"/>
    <w:pPr>
      <w:spacing w:before="280" w:after="140"/>
      <w:outlineLvl w:val="2"/>
    </w:pPr>
    <w:rPr>
      <w:rFonts w:cs="Times New Roman"/>
      <w:bCs w:val="0"/>
      <w:sz w:val="22"/>
      <w:szCs w:val="24"/>
    </w:rPr>
  </w:style>
  <w:style w:type="paragraph" w:styleId="41">
    <w:name w:val="heading 4"/>
    <w:aliases w:val="UTS H4"/>
    <w:basedOn w:val="31"/>
    <w:next w:val="a3"/>
    <w:link w:val="42"/>
    <w:uiPriority w:val="9"/>
    <w:qFormat/>
    <w:rsid w:val="007B07E0"/>
    <w:pPr>
      <w:spacing w:before="240" w:after="120"/>
      <w:outlineLvl w:val="3"/>
    </w:pPr>
    <w:rPr>
      <w:b w:val="0"/>
      <w:bCs/>
      <w:u w:val="single"/>
    </w:rPr>
  </w:style>
  <w:style w:type="paragraph" w:styleId="51">
    <w:name w:val="heading 5"/>
    <w:basedOn w:val="a2"/>
    <w:next w:val="a3"/>
    <w:link w:val="52"/>
    <w:uiPriority w:val="9"/>
    <w:qFormat/>
    <w:rsid w:val="00967F38"/>
    <w:pPr>
      <w:keepNext/>
      <w:keepLines/>
      <w:spacing w:before="240" w:after="120"/>
      <w:outlineLvl w:val="4"/>
    </w:pPr>
    <w:rPr>
      <w:rFonts w:asciiTheme="majorHAnsi" w:eastAsia="Times New Roman" w:hAnsiTheme="majorHAnsi" w:cs="Times New Roman"/>
      <w:bCs/>
      <w:iCs/>
      <w:sz w:val="20"/>
      <w:szCs w:val="26"/>
      <w:lang w:eastAsia="en-AU"/>
    </w:rPr>
  </w:style>
  <w:style w:type="paragraph" w:styleId="6">
    <w:name w:val="heading 6"/>
    <w:basedOn w:val="a2"/>
    <w:next w:val="a2"/>
    <w:link w:val="60"/>
    <w:uiPriority w:val="9"/>
    <w:qFormat/>
    <w:rsid w:val="00444AE6"/>
    <w:pPr>
      <w:spacing w:before="120" w:after="120"/>
      <w:outlineLvl w:val="5"/>
    </w:pPr>
    <w:rPr>
      <w:rFonts w:eastAsia="Times New Roman" w:cs="Times New Roman"/>
      <w:bCs/>
      <w:lang w:eastAsia="en-AU"/>
    </w:rPr>
  </w:style>
  <w:style w:type="paragraph" w:styleId="7">
    <w:name w:val="heading 7"/>
    <w:basedOn w:val="a2"/>
    <w:next w:val="a2"/>
    <w:link w:val="70"/>
    <w:uiPriority w:val="9"/>
    <w:semiHidden/>
    <w:unhideWhenUsed/>
    <w:qFormat/>
    <w:rsid w:val="00007385"/>
    <w:pPr>
      <w:keepNext/>
      <w:keepLines/>
      <w:spacing w:before="40" w:line="259" w:lineRule="auto"/>
      <w:outlineLvl w:val="6"/>
    </w:pPr>
    <w:rPr>
      <w:rFonts w:asciiTheme="majorHAnsi" w:eastAsiaTheme="majorEastAsia" w:hAnsiTheme="majorHAnsi" w:cstheme="majorBidi"/>
      <w:i/>
      <w:iCs/>
      <w:color w:val="072574" w:themeColor="accent1" w:themeShade="7F"/>
      <w:kern w:val="2"/>
      <w:sz w:val="22"/>
      <w14:ligatures w14:val="standardContextual"/>
    </w:rPr>
  </w:style>
  <w:style w:type="paragraph" w:styleId="8">
    <w:name w:val="heading 8"/>
    <w:basedOn w:val="a2"/>
    <w:next w:val="a2"/>
    <w:link w:val="80"/>
    <w:uiPriority w:val="9"/>
    <w:semiHidden/>
    <w:unhideWhenUsed/>
    <w:qFormat/>
    <w:rsid w:val="00007385"/>
    <w:pPr>
      <w:keepNext/>
      <w:keepLines/>
      <w:spacing w:before="40" w:line="259" w:lineRule="auto"/>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9">
    <w:name w:val="heading 9"/>
    <w:basedOn w:val="a2"/>
    <w:next w:val="a2"/>
    <w:link w:val="90"/>
    <w:uiPriority w:val="9"/>
    <w:semiHidden/>
    <w:unhideWhenUsed/>
    <w:qFormat/>
    <w:rsid w:val="00007385"/>
    <w:pPr>
      <w:keepNext/>
      <w:keepLines/>
      <w:spacing w:before="40" w:line="259" w:lineRule="auto"/>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UTS Body"/>
    <w:basedOn w:val="a2"/>
    <w:link w:val="a7"/>
    <w:qFormat/>
    <w:rsid w:val="00A42AC4"/>
    <w:pPr>
      <w:spacing w:before="120" w:after="120" w:line="360" w:lineRule="auto"/>
    </w:pPr>
    <w:rPr>
      <w:rFonts w:ascii="Calibri Light" w:eastAsia="Times New Roman" w:hAnsi="Calibri Light" w:cs="Times New Roman"/>
      <w:sz w:val="22"/>
      <w:szCs w:val="24"/>
      <w:lang w:eastAsia="en-AU"/>
    </w:rPr>
  </w:style>
  <w:style w:type="character" w:customStyle="1" w:styleId="a7">
    <w:name w:val="本文 (文字)"/>
    <w:aliases w:val="UTS Body (文字)"/>
    <w:basedOn w:val="a4"/>
    <w:link w:val="a3"/>
    <w:rsid w:val="00A42AC4"/>
    <w:rPr>
      <w:rFonts w:ascii="Calibri Light" w:eastAsia="Times New Roman" w:hAnsi="Calibri Light" w:cs="Times New Roman"/>
      <w:szCs w:val="24"/>
      <w:lang w:eastAsia="en-AU"/>
    </w:rPr>
  </w:style>
  <w:style w:type="character" w:customStyle="1" w:styleId="10">
    <w:name w:val="見出し 1 (文字)"/>
    <w:aliases w:val="UTS H1 (文字)"/>
    <w:basedOn w:val="a4"/>
    <w:link w:val="1"/>
    <w:uiPriority w:val="9"/>
    <w:rsid w:val="00F46EF2"/>
    <w:rPr>
      <w:rFonts w:ascii="Times New Roman" w:eastAsia="ＭＳ Ｐ明朝" w:hAnsi="Times New Roman" w:cs="Arial"/>
      <w:bCs/>
      <w:color w:val="000000" w:themeColor="text1"/>
      <w:sz w:val="21"/>
      <w:szCs w:val="32"/>
      <w:lang w:eastAsia="en-AU"/>
    </w:rPr>
  </w:style>
  <w:style w:type="character" w:customStyle="1" w:styleId="22">
    <w:name w:val="見出し 2 (文字)"/>
    <w:aliases w:val="UTS H2 (文字)"/>
    <w:basedOn w:val="a4"/>
    <w:link w:val="21"/>
    <w:uiPriority w:val="9"/>
    <w:rsid w:val="00125407"/>
    <w:rPr>
      <w:rFonts w:ascii="Calibri" w:eastAsia="Times New Roman" w:hAnsi="Calibri" w:cs="Arial"/>
      <w:b/>
      <w:bCs/>
      <w:iCs/>
      <w:sz w:val="30"/>
      <w:szCs w:val="28"/>
      <w:lang w:eastAsia="en-AU"/>
    </w:rPr>
  </w:style>
  <w:style w:type="character" w:customStyle="1" w:styleId="32">
    <w:name w:val="見出し 3 (文字)"/>
    <w:aliases w:val="UTS H3 (文字)"/>
    <w:basedOn w:val="a4"/>
    <w:link w:val="31"/>
    <w:uiPriority w:val="9"/>
    <w:rsid w:val="007B07E0"/>
    <w:rPr>
      <w:rFonts w:ascii="Calibri" w:eastAsia="Times New Roman" w:hAnsi="Calibri" w:cs="Times New Roman"/>
      <w:b/>
      <w:iCs/>
      <w:szCs w:val="24"/>
      <w:lang w:eastAsia="en-AU"/>
    </w:rPr>
  </w:style>
  <w:style w:type="character" w:customStyle="1" w:styleId="42">
    <w:name w:val="見出し 4 (文字)"/>
    <w:aliases w:val="UTS H4 (文字)"/>
    <w:basedOn w:val="a4"/>
    <w:link w:val="41"/>
    <w:uiPriority w:val="9"/>
    <w:rsid w:val="007B07E0"/>
    <w:rPr>
      <w:rFonts w:ascii="Calibri" w:eastAsia="Times New Roman" w:hAnsi="Calibri" w:cs="Times New Roman"/>
      <w:szCs w:val="24"/>
      <w:u w:val="single"/>
      <w:lang w:eastAsia="en-AU"/>
    </w:rPr>
  </w:style>
  <w:style w:type="paragraph" w:customStyle="1" w:styleId="NbrHeading1">
    <w:name w:val="Nbr Heading 1"/>
    <w:aliases w:val="UTS Nbr H1"/>
    <w:basedOn w:val="1"/>
    <w:next w:val="a3"/>
    <w:qFormat/>
    <w:rsid w:val="00AE1FD2"/>
    <w:pPr>
      <w:numPr>
        <w:numId w:val="15"/>
      </w:numPr>
    </w:pPr>
    <w:rPr>
      <w:bCs w:val="0"/>
    </w:rPr>
  </w:style>
  <w:style w:type="paragraph" w:customStyle="1" w:styleId="NbrHeading2">
    <w:name w:val="Nbr Heading 2"/>
    <w:aliases w:val="UTS Nbr H2"/>
    <w:basedOn w:val="21"/>
    <w:next w:val="a3"/>
    <w:qFormat/>
    <w:rsid w:val="00A5699E"/>
    <w:pPr>
      <w:numPr>
        <w:ilvl w:val="1"/>
        <w:numId w:val="15"/>
      </w:numPr>
    </w:pPr>
    <w:rPr>
      <w:color w:val="000000" w:themeColor="text1"/>
    </w:rPr>
  </w:style>
  <w:style w:type="paragraph" w:customStyle="1" w:styleId="NbrHeading3">
    <w:name w:val="Nbr Heading 3"/>
    <w:aliases w:val="UTS Nbr H3"/>
    <w:basedOn w:val="31"/>
    <w:next w:val="a3"/>
    <w:qFormat/>
    <w:rsid w:val="00AE1FD2"/>
    <w:pPr>
      <w:numPr>
        <w:ilvl w:val="2"/>
        <w:numId w:val="15"/>
      </w:numPr>
    </w:pPr>
  </w:style>
  <w:style w:type="paragraph" w:customStyle="1" w:styleId="NbrHeading4">
    <w:name w:val="Nbr Heading 4"/>
    <w:aliases w:val="UTS Nbr H4"/>
    <w:basedOn w:val="41"/>
    <w:next w:val="a3"/>
    <w:qFormat/>
    <w:rsid w:val="00AE1FD2"/>
    <w:pPr>
      <w:numPr>
        <w:ilvl w:val="3"/>
        <w:numId w:val="15"/>
      </w:numPr>
    </w:pPr>
  </w:style>
  <w:style w:type="paragraph" w:styleId="a8">
    <w:name w:val="Title"/>
    <w:aliases w:val="UTS Title"/>
    <w:basedOn w:val="a2"/>
    <w:next w:val="a3"/>
    <w:link w:val="a9"/>
    <w:uiPriority w:val="9"/>
    <w:qFormat/>
    <w:rsid w:val="00CD207A"/>
    <w:pPr>
      <w:spacing w:after="240"/>
    </w:pPr>
    <w:rPr>
      <w:rFonts w:asciiTheme="majorHAnsi" w:eastAsiaTheme="majorEastAsia" w:hAnsiTheme="majorHAnsi" w:cstheme="majorBidi"/>
      <w:color w:val="FFFFFF" w:themeColor="background1"/>
      <w:sz w:val="30"/>
      <w:szCs w:val="52"/>
    </w:rPr>
  </w:style>
  <w:style w:type="character" w:customStyle="1" w:styleId="a9">
    <w:name w:val="表題 (文字)"/>
    <w:aliases w:val="UTS Title (文字)"/>
    <w:basedOn w:val="a4"/>
    <w:link w:val="a8"/>
    <w:uiPriority w:val="9"/>
    <w:rsid w:val="00CD207A"/>
    <w:rPr>
      <w:rFonts w:asciiTheme="majorHAnsi" w:eastAsiaTheme="majorEastAsia" w:hAnsiTheme="majorHAnsi" w:cstheme="majorBidi"/>
      <w:color w:val="FFFFFF" w:themeColor="background1"/>
      <w:sz w:val="30"/>
      <w:szCs w:val="52"/>
    </w:rPr>
  </w:style>
  <w:style w:type="paragraph" w:styleId="aa">
    <w:name w:val="Subtitle"/>
    <w:aliases w:val="UTS Subtitle"/>
    <w:basedOn w:val="a2"/>
    <w:next w:val="a3"/>
    <w:link w:val="ab"/>
    <w:uiPriority w:val="10"/>
    <w:qFormat/>
    <w:rsid w:val="00CD207A"/>
    <w:rPr>
      <w:rFonts w:eastAsia="Times New Roman"/>
      <w:color w:val="FFFFFF" w:themeColor="background1"/>
      <w:sz w:val="100"/>
      <w:lang w:val="en-US"/>
    </w:rPr>
  </w:style>
  <w:style w:type="character" w:customStyle="1" w:styleId="ab">
    <w:name w:val="副題 (文字)"/>
    <w:aliases w:val="UTS Subtitle (文字)"/>
    <w:basedOn w:val="a4"/>
    <w:link w:val="aa"/>
    <w:uiPriority w:val="10"/>
    <w:rsid w:val="00CD207A"/>
    <w:rPr>
      <w:rFonts w:eastAsia="Times New Roman"/>
      <w:color w:val="FFFFFF" w:themeColor="background1"/>
      <w:sz w:val="100"/>
      <w:lang w:val="en-US"/>
    </w:rPr>
  </w:style>
  <w:style w:type="paragraph" w:styleId="23">
    <w:name w:val="Body Text 2"/>
    <w:basedOn w:val="a3"/>
    <w:link w:val="24"/>
    <w:uiPriority w:val="99"/>
    <w:semiHidden/>
    <w:qFormat/>
    <w:rsid w:val="00444AE6"/>
    <w:pPr>
      <w:numPr>
        <w:ilvl w:val="1"/>
      </w:numPr>
      <w:tabs>
        <w:tab w:val="left" w:pos="567"/>
      </w:tabs>
    </w:pPr>
  </w:style>
  <w:style w:type="character" w:customStyle="1" w:styleId="24">
    <w:name w:val="本文 2 (文字)"/>
    <w:basedOn w:val="a4"/>
    <w:link w:val="23"/>
    <w:uiPriority w:val="99"/>
    <w:semiHidden/>
    <w:rsid w:val="00444AE6"/>
    <w:rPr>
      <w:rFonts w:eastAsia="Times New Roman" w:cs="Times New Roman"/>
      <w:szCs w:val="24"/>
      <w:lang w:eastAsia="en-AU"/>
    </w:rPr>
  </w:style>
  <w:style w:type="paragraph" w:styleId="ac">
    <w:name w:val="header"/>
    <w:basedOn w:val="a2"/>
    <w:link w:val="ad"/>
    <w:uiPriority w:val="99"/>
    <w:rsid w:val="00CD207A"/>
    <w:rPr>
      <w:color w:val="0F4BEB" w:themeColor="accent1"/>
      <w:sz w:val="16"/>
    </w:rPr>
  </w:style>
  <w:style w:type="character" w:customStyle="1" w:styleId="ad">
    <w:name w:val="ヘッダー (文字)"/>
    <w:basedOn w:val="a4"/>
    <w:link w:val="ac"/>
    <w:uiPriority w:val="99"/>
    <w:rsid w:val="00CD207A"/>
    <w:rPr>
      <w:color w:val="0F4BEB" w:themeColor="accent1"/>
      <w:sz w:val="16"/>
    </w:rPr>
  </w:style>
  <w:style w:type="paragraph" w:styleId="ae">
    <w:name w:val="footer"/>
    <w:basedOn w:val="a2"/>
    <w:link w:val="af"/>
    <w:uiPriority w:val="99"/>
    <w:rsid w:val="00012538"/>
    <w:pPr>
      <w:tabs>
        <w:tab w:val="right" w:pos="9639"/>
      </w:tabs>
      <w:spacing w:after="120"/>
    </w:pPr>
    <w:rPr>
      <w:color w:val="0F4BEB" w:themeColor="accent1"/>
      <w:sz w:val="16"/>
    </w:rPr>
  </w:style>
  <w:style w:type="character" w:customStyle="1" w:styleId="af">
    <w:name w:val="フッター (文字)"/>
    <w:basedOn w:val="a4"/>
    <w:link w:val="ae"/>
    <w:uiPriority w:val="99"/>
    <w:rsid w:val="00012538"/>
    <w:rPr>
      <w:color w:val="0F4BEB" w:themeColor="accent1"/>
      <w:sz w:val="16"/>
    </w:rPr>
  </w:style>
  <w:style w:type="paragraph" w:styleId="a0">
    <w:name w:val="List Number"/>
    <w:aliases w:val="UTS Number"/>
    <w:basedOn w:val="a3"/>
    <w:uiPriority w:val="1"/>
    <w:qFormat/>
    <w:rsid w:val="00D63B2E"/>
    <w:pPr>
      <w:numPr>
        <w:numId w:val="10"/>
      </w:numPr>
    </w:pPr>
  </w:style>
  <w:style w:type="paragraph" w:styleId="a1">
    <w:name w:val="List Bullet"/>
    <w:aliases w:val="UTS Bullet"/>
    <w:basedOn w:val="a3"/>
    <w:uiPriority w:val="1"/>
    <w:qFormat/>
    <w:rsid w:val="00D63B2E"/>
    <w:pPr>
      <w:numPr>
        <w:numId w:val="9"/>
      </w:numPr>
    </w:pPr>
  </w:style>
  <w:style w:type="paragraph" w:styleId="af0">
    <w:name w:val="TOC Heading"/>
    <w:basedOn w:val="1"/>
    <w:next w:val="a2"/>
    <w:uiPriority w:val="39"/>
    <w:rsid w:val="007349F0"/>
    <w:pPr>
      <w:pageBreakBefore w:val="0"/>
      <w:spacing w:before="480"/>
    </w:pPr>
    <w:rPr>
      <w:noProof/>
    </w:rPr>
  </w:style>
  <w:style w:type="character" w:styleId="af1">
    <w:name w:val="Hyperlink"/>
    <w:basedOn w:val="a4"/>
    <w:uiPriority w:val="99"/>
    <w:rsid w:val="00BF1F87"/>
    <w:rPr>
      <w:color w:val="0F4BEB" w:themeColor="accent1"/>
      <w:u w:val="single"/>
    </w:rPr>
  </w:style>
  <w:style w:type="paragraph" w:styleId="11">
    <w:name w:val="toc 1"/>
    <w:basedOn w:val="a2"/>
    <w:next w:val="a2"/>
    <w:uiPriority w:val="39"/>
    <w:rsid w:val="00EB6DEC"/>
    <w:pPr>
      <w:keepNext/>
      <w:tabs>
        <w:tab w:val="right" w:pos="8505"/>
      </w:tabs>
      <w:spacing w:before="240" w:after="120"/>
    </w:pPr>
    <w:rPr>
      <w:b/>
      <w:noProof/>
    </w:rPr>
  </w:style>
  <w:style w:type="paragraph" w:styleId="25">
    <w:name w:val="toc 2"/>
    <w:basedOn w:val="a2"/>
    <w:next w:val="a2"/>
    <w:uiPriority w:val="39"/>
    <w:rsid w:val="007F718B"/>
    <w:pPr>
      <w:tabs>
        <w:tab w:val="right" w:pos="8505"/>
      </w:tabs>
      <w:spacing w:after="80"/>
      <w:ind w:left="284"/>
    </w:pPr>
  </w:style>
  <w:style w:type="paragraph" w:styleId="33">
    <w:name w:val="toc 3"/>
    <w:basedOn w:val="a2"/>
    <w:next w:val="a2"/>
    <w:uiPriority w:val="39"/>
    <w:rsid w:val="007F718B"/>
    <w:pPr>
      <w:tabs>
        <w:tab w:val="right" w:pos="8505"/>
      </w:tabs>
      <w:spacing w:after="20"/>
      <w:ind w:left="567"/>
    </w:pPr>
    <w:rPr>
      <w:noProof/>
    </w:rPr>
  </w:style>
  <w:style w:type="table" w:styleId="af2">
    <w:name w:val="Table Grid"/>
    <w:basedOn w:val="a5"/>
    <w:uiPriority w:val="3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nedRedTable">
    <w:name w:val="Lined Red Table"/>
    <w:basedOn w:val="LinedBlueTable"/>
    <w:uiPriority w:val="99"/>
    <w:rsid w:val="00562433"/>
    <w:tblPr>
      <w:tblBorders>
        <w:top w:val="none" w:sz="0" w:space="0" w:color="auto"/>
        <w:bottom w:val="single" w:sz="18" w:space="0" w:color="FFD2CD" w:themeColor="accent2" w:themeTint="33"/>
        <w:insideH w:val="single" w:sz="18" w:space="0" w:color="FFD2CD" w:themeColor="accent2" w:themeTint="33"/>
      </w:tblBorders>
    </w:tblPr>
    <w:tcPr>
      <w:shd w:val="clear" w:color="auto" w:fill="auto"/>
    </w:tcPr>
    <w:tblStylePr w:type="firstRow">
      <w:rPr>
        <w:color w:val="FFFFFF" w:themeColor="background1"/>
      </w:rPr>
      <w:tblPr/>
      <w:tcPr>
        <w:tcBorders>
          <w:top w:val="single" w:sz="18" w:space="0" w:color="FFD2CD" w:themeColor="accent2" w:themeTint="33"/>
          <w:left w:val="nil"/>
          <w:bottom w:val="nil"/>
          <w:right w:val="nil"/>
          <w:insideH w:val="nil"/>
          <w:insideV w:val="nil"/>
          <w:tl2br w:val="nil"/>
          <w:tr2bl w:val="nil"/>
        </w:tcBorders>
        <w:shd w:val="clear" w:color="auto" w:fill="FF2305" w:themeFill="accent2"/>
      </w:tcPr>
    </w:tblStylePr>
    <w:tblStylePr w:type="lastRow">
      <w:rPr>
        <w:b/>
        <w:color w:val="auto"/>
      </w:rPr>
      <w:tblPr/>
      <w:tcPr>
        <w:shd w:val="clear" w:color="auto" w:fill="FFF1EF"/>
      </w:tcPr>
    </w:tblStylePr>
    <w:tblStylePr w:type="firstCol">
      <w:rPr>
        <w:color w:val="FFFFFF" w:themeColor="background1"/>
      </w:rPr>
      <w:tblPr/>
      <w:tcPr>
        <w:tcBorders>
          <w:top w:val="nil"/>
          <w:left w:val="nil"/>
          <w:bottom w:val="single" w:sz="18" w:space="0" w:color="FFD2CD" w:themeColor="accent2" w:themeTint="33"/>
          <w:right w:val="nil"/>
          <w:insideH w:val="single" w:sz="18" w:space="0" w:color="FFD2CD" w:themeColor="accent2" w:themeTint="33"/>
          <w:insideV w:val="nil"/>
        </w:tcBorders>
        <w:shd w:val="clear" w:color="auto" w:fill="FF2305" w:themeFill="accent2"/>
      </w:tcPr>
    </w:tblStylePr>
    <w:tblStylePr w:type="lastCol">
      <w:tblPr/>
      <w:tcPr>
        <w:shd w:val="clear" w:color="auto" w:fill="FFF1EF"/>
      </w:tcPr>
    </w:tblStylePr>
    <w:tblStylePr w:type="band2Vert">
      <w:tblPr/>
      <w:tcPr>
        <w:shd w:val="clear" w:color="auto" w:fill="FFF1EF"/>
      </w:tcPr>
    </w:tblStylePr>
    <w:tblStylePr w:type="band2Horz">
      <w:tblPr/>
      <w:tcPr>
        <w:shd w:val="clear" w:color="auto" w:fill="FFF1EF"/>
      </w:tcPr>
    </w:tblStylePr>
  </w:style>
  <w:style w:type="paragraph" w:customStyle="1" w:styleId="TableHeading">
    <w:name w:val="Table Heading"/>
    <w:aliases w:val="UTS Table Heading"/>
    <w:basedOn w:val="a2"/>
    <w:next w:val="a3"/>
    <w:uiPriority w:val="3"/>
    <w:qFormat/>
    <w:rsid w:val="00FF437E"/>
    <w:pPr>
      <w:keepNext/>
      <w:spacing w:before="60" w:after="60"/>
      <w:ind w:left="113" w:right="113"/>
    </w:pPr>
    <w:rPr>
      <w:b/>
    </w:rPr>
  </w:style>
  <w:style w:type="paragraph" w:customStyle="1" w:styleId="TableText">
    <w:name w:val="Table Text"/>
    <w:aliases w:val="UTS Table Text"/>
    <w:basedOn w:val="a2"/>
    <w:uiPriority w:val="3"/>
    <w:qFormat/>
    <w:rsid w:val="001F4E1B"/>
    <w:pPr>
      <w:spacing w:before="40" w:after="40"/>
      <w:ind w:left="113" w:right="113"/>
    </w:pPr>
  </w:style>
  <w:style w:type="paragraph" w:customStyle="1" w:styleId="TableBullet">
    <w:name w:val="Table Bullet"/>
    <w:aliases w:val="UTS Table Bullet"/>
    <w:basedOn w:val="TableText"/>
    <w:uiPriority w:val="4"/>
    <w:qFormat/>
    <w:rsid w:val="00411DB3"/>
    <w:pPr>
      <w:numPr>
        <w:numId w:val="12"/>
      </w:numPr>
    </w:pPr>
    <w:rPr>
      <w:rFonts w:eastAsia="Times New Roman" w:cs="Times New Roman"/>
      <w:szCs w:val="24"/>
      <w:lang w:eastAsia="en-AU"/>
    </w:rPr>
  </w:style>
  <w:style w:type="paragraph" w:customStyle="1" w:styleId="TableNumber">
    <w:name w:val="Table Number"/>
    <w:aliases w:val="UTS Table Number"/>
    <w:basedOn w:val="TableText"/>
    <w:uiPriority w:val="4"/>
    <w:qFormat/>
    <w:rsid w:val="00411DB3"/>
    <w:pPr>
      <w:numPr>
        <w:numId w:val="13"/>
      </w:numPr>
    </w:pPr>
  </w:style>
  <w:style w:type="character" w:customStyle="1" w:styleId="52">
    <w:name w:val="見出し 5 (文字)"/>
    <w:basedOn w:val="a4"/>
    <w:link w:val="51"/>
    <w:uiPriority w:val="9"/>
    <w:rsid w:val="00D27E2E"/>
    <w:rPr>
      <w:rFonts w:asciiTheme="majorHAnsi" w:eastAsia="Times New Roman" w:hAnsiTheme="majorHAnsi" w:cs="Times New Roman"/>
      <w:bCs/>
      <w:iCs/>
      <w:sz w:val="20"/>
      <w:szCs w:val="26"/>
      <w:lang w:eastAsia="en-AU"/>
    </w:rPr>
  </w:style>
  <w:style w:type="character" w:customStyle="1" w:styleId="60">
    <w:name w:val="見出し 6 (文字)"/>
    <w:basedOn w:val="a4"/>
    <w:link w:val="6"/>
    <w:uiPriority w:val="9"/>
    <w:rsid w:val="00E33EF7"/>
    <w:rPr>
      <w:rFonts w:eastAsia="Times New Roman" w:cs="Times New Roman"/>
      <w:bCs/>
      <w:sz w:val="18"/>
      <w:lang w:eastAsia="en-AU"/>
    </w:rPr>
  </w:style>
  <w:style w:type="paragraph" w:styleId="34">
    <w:name w:val="Body Text 3"/>
    <w:basedOn w:val="a3"/>
    <w:link w:val="35"/>
    <w:uiPriority w:val="99"/>
    <w:semiHidden/>
    <w:qFormat/>
    <w:rsid w:val="00444AE6"/>
    <w:pPr>
      <w:numPr>
        <w:ilvl w:val="2"/>
      </w:numPr>
    </w:pPr>
    <w:rPr>
      <w:szCs w:val="16"/>
    </w:rPr>
  </w:style>
  <w:style w:type="character" w:customStyle="1" w:styleId="35">
    <w:name w:val="本文 3 (文字)"/>
    <w:basedOn w:val="a4"/>
    <w:link w:val="34"/>
    <w:uiPriority w:val="99"/>
    <w:semiHidden/>
    <w:rsid w:val="00444AE6"/>
    <w:rPr>
      <w:rFonts w:eastAsia="Times New Roman" w:cs="Times New Roman"/>
      <w:szCs w:val="16"/>
      <w:lang w:eastAsia="en-AU"/>
    </w:rPr>
  </w:style>
  <w:style w:type="paragraph" w:styleId="a">
    <w:name w:val="List Paragraph"/>
    <w:aliases w:val="UTS Para,Recommendation,List Paragraph1,List Paragraph11,Bullet point,List Paragraph Number,Body text,Bullet Point,Bulletr List Paragraph,Content descriptions,FooterText,L,List Bullet 1,List Paragraph2,List Paragraph21,Listeafsnit1"/>
    <w:basedOn w:val="a3"/>
    <w:link w:val="af3"/>
    <w:uiPriority w:val="34"/>
    <w:qFormat/>
    <w:rsid w:val="00D63B2E"/>
    <w:pPr>
      <w:numPr>
        <w:numId w:val="11"/>
      </w:numPr>
    </w:pPr>
  </w:style>
  <w:style w:type="paragraph" w:styleId="43">
    <w:name w:val="toc 4"/>
    <w:basedOn w:val="11"/>
    <w:next w:val="a2"/>
    <w:uiPriority w:val="39"/>
    <w:rsid w:val="00DF01DF"/>
    <w:pPr>
      <w:tabs>
        <w:tab w:val="left" w:pos="851"/>
      </w:tabs>
      <w:ind w:left="851" w:hanging="851"/>
    </w:pPr>
  </w:style>
  <w:style w:type="paragraph" w:customStyle="1" w:styleId="NbrHeading5">
    <w:name w:val="Nbr Heading 5"/>
    <w:basedOn w:val="51"/>
    <w:next w:val="a3"/>
    <w:semiHidden/>
    <w:qFormat/>
    <w:rsid w:val="003A08A5"/>
    <w:pPr>
      <w:numPr>
        <w:ilvl w:val="4"/>
        <w:numId w:val="15"/>
      </w:numPr>
    </w:pPr>
  </w:style>
  <w:style w:type="table" w:customStyle="1" w:styleId="ShadedRedTable">
    <w:name w:val="Shaded Red Table"/>
    <w:basedOn w:val="ShadedBlueTable"/>
    <w:uiPriority w:val="99"/>
    <w:rsid w:val="003E6AF6"/>
    <w:tblPr/>
    <w:tcPr>
      <w:shd w:val="clear" w:color="auto" w:fill="FFF1EF"/>
    </w:tcPr>
    <w:tblStylePr w:type="firstRow">
      <w:rPr>
        <w:color w:val="FFFFFF" w:themeColor="background1"/>
      </w:rPr>
      <w:tblPr/>
      <w:tcPr>
        <w:tcBorders>
          <w:top w:val="single" w:sz="36" w:space="0" w:color="000000" w:themeColor="text1"/>
        </w:tcBorders>
        <w:shd w:val="clear" w:color="auto" w:fill="FF2305" w:themeFill="accent2"/>
      </w:tcPr>
    </w:tblStylePr>
    <w:tblStylePr w:type="lastRow">
      <w:rPr>
        <w:b/>
      </w:rPr>
      <w:tblPr/>
      <w:tcPr>
        <w:shd w:val="clear" w:color="auto" w:fill="FFD2CD" w:themeFill="accent2" w:themeFillTint="33"/>
      </w:tcPr>
    </w:tblStylePr>
    <w:tblStylePr w:type="firstCol">
      <w:rPr>
        <w:color w:val="FFFFFF" w:themeColor="background1"/>
      </w:rPr>
      <w:tblPr/>
      <w:tcPr>
        <w:shd w:val="clear" w:color="auto" w:fill="FF2305" w:themeFill="accent2"/>
      </w:tcPr>
    </w:tblStylePr>
    <w:tblStylePr w:type="lastCol">
      <w:tblPr/>
      <w:tcPr>
        <w:shd w:val="clear" w:color="auto" w:fill="FFD2CD" w:themeFill="accent2" w:themeFillTint="33"/>
      </w:tcPr>
    </w:tblStylePr>
    <w:tblStylePr w:type="band2Vert">
      <w:tblPr/>
      <w:tcPr>
        <w:shd w:val="clear" w:color="auto" w:fill="FFD2CD" w:themeFill="accent2" w:themeFillTint="33"/>
      </w:tcPr>
    </w:tblStylePr>
    <w:tblStylePr w:type="band2Horz">
      <w:tblPr/>
      <w:tcPr>
        <w:shd w:val="clear" w:color="auto" w:fill="FFD2CD" w:themeFill="accent2" w:themeFillTint="33"/>
      </w:tcPr>
    </w:tblStylePr>
  </w:style>
  <w:style w:type="table" w:customStyle="1" w:styleId="ShadedBlackTable">
    <w:name w:val="Shaded Black Table"/>
    <w:basedOn w:val="ShadedRedTable"/>
    <w:uiPriority w:val="99"/>
    <w:rsid w:val="003E6AF6"/>
    <w:tblPr/>
    <w:tcPr>
      <w:shd w:val="clear" w:color="auto" w:fill="F2F2F2" w:themeFill="background2"/>
    </w:tcPr>
    <w:tblStylePr w:type="firstRow">
      <w:rPr>
        <w:color w:val="FFFFFF" w:themeColor="background1"/>
      </w:rPr>
      <w:tblPr/>
      <w:tcPr>
        <w:tcBorders>
          <w:top w:val="single" w:sz="36" w:space="0" w:color="0F4BEB" w:themeColor="accent1"/>
        </w:tcBorders>
        <w:shd w:val="clear" w:color="auto" w:fill="000000" w:themeFill="text1"/>
      </w:tcPr>
    </w:tblStylePr>
    <w:tblStylePr w:type="lastRow">
      <w:rPr>
        <w:b/>
      </w:rPr>
      <w:tblPr/>
      <w:tcPr>
        <w:shd w:val="clear" w:color="auto" w:fill="DADADA" w:themeFill="background2" w:themeFillShade="E6"/>
      </w:tcPr>
    </w:tblStylePr>
    <w:tblStylePr w:type="firstCol">
      <w:rPr>
        <w:color w:val="FFFFFF" w:themeColor="background1"/>
      </w:rPr>
      <w:tblPr/>
      <w:tcPr>
        <w:shd w:val="clear" w:color="auto" w:fill="000000" w:themeFill="text1"/>
      </w:tcPr>
    </w:tblStylePr>
    <w:tblStylePr w:type="lastCol">
      <w:tblPr/>
      <w:tcPr>
        <w:shd w:val="clear" w:color="auto" w:fill="DADADA" w:themeFill="background2" w:themeFillShade="E6"/>
      </w:tcPr>
    </w:tblStylePr>
    <w:tblStylePr w:type="band2Vert">
      <w:tblPr/>
      <w:tcPr>
        <w:shd w:val="clear" w:color="auto" w:fill="DADADA" w:themeFill="background2" w:themeFillShade="E6"/>
      </w:tcPr>
    </w:tblStylePr>
    <w:tblStylePr w:type="band2Horz">
      <w:tblPr/>
      <w:tcPr>
        <w:shd w:val="clear" w:color="auto" w:fill="DADADA" w:themeFill="background2" w:themeFillShade="E6"/>
      </w:tcPr>
    </w:tblStylePr>
  </w:style>
  <w:style w:type="paragraph" w:styleId="af4">
    <w:name w:val="Balloon Text"/>
    <w:basedOn w:val="a2"/>
    <w:link w:val="af5"/>
    <w:uiPriority w:val="99"/>
    <w:semiHidden/>
    <w:rsid w:val="00E21DC0"/>
    <w:rPr>
      <w:rFonts w:ascii="Tahoma" w:hAnsi="Tahoma" w:cs="Tahoma"/>
      <w:sz w:val="16"/>
      <w:szCs w:val="16"/>
    </w:rPr>
  </w:style>
  <w:style w:type="character" w:customStyle="1" w:styleId="af5">
    <w:name w:val="吹き出し (文字)"/>
    <w:basedOn w:val="a4"/>
    <w:link w:val="af4"/>
    <w:uiPriority w:val="99"/>
    <w:semiHidden/>
    <w:rsid w:val="00E21DC0"/>
    <w:rPr>
      <w:rFonts w:ascii="Tahoma" w:hAnsi="Tahoma" w:cs="Tahoma"/>
      <w:sz w:val="16"/>
      <w:szCs w:val="16"/>
    </w:rPr>
  </w:style>
  <w:style w:type="paragraph" w:styleId="af6">
    <w:name w:val="Quote"/>
    <w:basedOn w:val="a2"/>
    <w:next w:val="a2"/>
    <w:link w:val="af7"/>
    <w:uiPriority w:val="99"/>
    <w:semiHidden/>
    <w:qFormat/>
    <w:rsid w:val="00076F97"/>
    <w:pPr>
      <w:spacing w:before="180" w:after="180"/>
      <w:ind w:left="567" w:right="567"/>
      <w:jc w:val="center"/>
    </w:pPr>
    <w:rPr>
      <w:i/>
      <w:iCs/>
      <w:color w:val="000000" w:themeColor="text1"/>
    </w:rPr>
  </w:style>
  <w:style w:type="character" w:customStyle="1" w:styleId="af7">
    <w:name w:val="引用文 (文字)"/>
    <w:basedOn w:val="a4"/>
    <w:link w:val="af6"/>
    <w:uiPriority w:val="99"/>
    <w:semiHidden/>
    <w:rsid w:val="00E33EF7"/>
    <w:rPr>
      <w:i/>
      <w:iCs/>
      <w:color w:val="000000" w:themeColor="text1"/>
      <w:sz w:val="18"/>
    </w:rPr>
  </w:style>
  <w:style w:type="paragraph" w:customStyle="1" w:styleId="FigureCaption">
    <w:name w:val="Figure Caption"/>
    <w:basedOn w:val="a2"/>
    <w:next w:val="a3"/>
    <w:uiPriority w:val="6"/>
    <w:qFormat/>
    <w:rsid w:val="0055219D"/>
    <w:pPr>
      <w:tabs>
        <w:tab w:val="left" w:pos="1134"/>
      </w:tabs>
      <w:spacing w:before="120" w:after="240"/>
      <w:ind w:left="1134" w:hanging="1134"/>
      <w:jc w:val="center"/>
    </w:pPr>
    <w:rPr>
      <w:b/>
    </w:rPr>
  </w:style>
  <w:style w:type="paragraph" w:customStyle="1" w:styleId="TableCaption">
    <w:name w:val="Table Caption"/>
    <w:basedOn w:val="af8"/>
    <w:uiPriority w:val="6"/>
    <w:qFormat/>
    <w:rsid w:val="00822A01"/>
    <w:pPr>
      <w:spacing w:before="0" w:after="0"/>
    </w:pPr>
  </w:style>
  <w:style w:type="paragraph" w:customStyle="1" w:styleId="FigureStyle">
    <w:name w:val="Figure Style"/>
    <w:basedOn w:val="a3"/>
    <w:uiPriority w:val="6"/>
    <w:qFormat/>
    <w:rsid w:val="00FE7A02"/>
    <w:pPr>
      <w:keepNext/>
      <w:spacing w:before="240"/>
      <w:jc w:val="center"/>
    </w:pPr>
  </w:style>
  <w:style w:type="paragraph" w:styleId="53">
    <w:name w:val="toc 5"/>
    <w:basedOn w:val="25"/>
    <w:next w:val="a2"/>
    <w:uiPriority w:val="39"/>
    <w:rsid w:val="0061089F"/>
    <w:pPr>
      <w:tabs>
        <w:tab w:val="left" w:pos="851"/>
      </w:tabs>
      <w:ind w:left="851" w:hanging="851"/>
    </w:pPr>
  </w:style>
  <w:style w:type="paragraph" w:styleId="61">
    <w:name w:val="toc 6"/>
    <w:basedOn w:val="33"/>
    <w:next w:val="a2"/>
    <w:uiPriority w:val="39"/>
    <w:rsid w:val="0061089F"/>
    <w:pPr>
      <w:tabs>
        <w:tab w:val="left" w:pos="851"/>
      </w:tabs>
      <w:ind w:left="851" w:hanging="851"/>
    </w:pPr>
  </w:style>
  <w:style w:type="paragraph" w:styleId="71">
    <w:name w:val="toc 7"/>
    <w:basedOn w:val="25"/>
    <w:next w:val="a2"/>
    <w:uiPriority w:val="39"/>
    <w:rsid w:val="003B4DCF"/>
    <w:pPr>
      <w:spacing w:after="60"/>
    </w:pPr>
    <w:rPr>
      <w:sz w:val="16"/>
    </w:rPr>
  </w:style>
  <w:style w:type="paragraph" w:styleId="81">
    <w:name w:val="toc 8"/>
    <w:basedOn w:val="a2"/>
    <w:next w:val="a2"/>
    <w:uiPriority w:val="39"/>
    <w:rsid w:val="003B4DCF"/>
    <w:pPr>
      <w:tabs>
        <w:tab w:val="left" w:pos="851"/>
        <w:tab w:val="right" w:pos="9639"/>
      </w:tabs>
      <w:spacing w:after="60"/>
      <w:ind w:left="851" w:hanging="851"/>
    </w:pPr>
    <w:rPr>
      <w:sz w:val="16"/>
    </w:rPr>
  </w:style>
  <w:style w:type="paragraph" w:styleId="91">
    <w:name w:val="toc 9"/>
    <w:basedOn w:val="a2"/>
    <w:next w:val="a2"/>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63B2E"/>
    <w:pPr>
      <w:numPr>
        <w:numId w:val="3"/>
      </w:numPr>
    </w:pPr>
  </w:style>
  <w:style w:type="numbering" w:customStyle="1" w:styleId="ListParagraph">
    <w:name w:val="List_Paragraph"/>
    <w:uiPriority w:val="99"/>
    <w:rsid w:val="00D63B2E"/>
    <w:pPr>
      <w:numPr>
        <w:numId w:val="5"/>
      </w:numPr>
    </w:pPr>
  </w:style>
  <w:style w:type="paragraph" w:styleId="af8">
    <w:name w:val="caption"/>
    <w:basedOn w:val="a2"/>
    <w:next w:val="a2"/>
    <w:uiPriority w:val="35"/>
    <w:qFormat/>
    <w:rsid w:val="001F4E1B"/>
    <w:pPr>
      <w:keepNext/>
      <w:tabs>
        <w:tab w:val="left" w:pos="1134"/>
      </w:tabs>
      <w:spacing w:before="240" w:after="40"/>
      <w:ind w:left="1134" w:hanging="1134"/>
    </w:pPr>
    <w:rPr>
      <w:b/>
      <w:sz w:val="22"/>
    </w:rPr>
  </w:style>
  <w:style w:type="paragraph" w:customStyle="1" w:styleId="ListAlpha0">
    <w:name w:val="List Alpha"/>
    <w:aliases w:val="UTS Alpha"/>
    <w:basedOn w:val="a3"/>
    <w:uiPriority w:val="1"/>
    <w:qFormat/>
    <w:rsid w:val="00D63B2E"/>
    <w:pPr>
      <w:numPr>
        <w:numId w:val="8"/>
      </w:numPr>
    </w:pPr>
  </w:style>
  <w:style w:type="numbering" w:customStyle="1" w:styleId="ListAlpha">
    <w:name w:val="List_Alpha"/>
    <w:uiPriority w:val="99"/>
    <w:rsid w:val="00D63B2E"/>
    <w:pPr>
      <w:numPr>
        <w:numId w:val="1"/>
      </w:numPr>
    </w:pPr>
  </w:style>
  <w:style w:type="paragraph" w:styleId="af9">
    <w:name w:val="table of authorities"/>
    <w:basedOn w:val="a2"/>
    <w:next w:val="a2"/>
    <w:uiPriority w:val="99"/>
    <w:semiHidden/>
    <w:rsid w:val="00E018FB"/>
    <w:pPr>
      <w:ind w:left="200" w:hanging="200"/>
    </w:pPr>
  </w:style>
  <w:style w:type="paragraph" w:styleId="afa">
    <w:name w:val="table of figures"/>
    <w:basedOn w:val="33"/>
    <w:next w:val="a2"/>
    <w:uiPriority w:val="99"/>
    <w:rsid w:val="007349F0"/>
    <w:pPr>
      <w:spacing w:after="60"/>
      <w:ind w:left="0"/>
    </w:pPr>
  </w:style>
  <w:style w:type="table" w:customStyle="1" w:styleId="LinedBlueTable">
    <w:name w:val="Lined Blue Table"/>
    <w:basedOn w:val="a5"/>
    <w:uiPriority w:val="99"/>
    <w:rsid w:val="00562433"/>
    <w:pPr>
      <w:spacing w:before="0" w:after="0"/>
      <w:ind w:left="113" w:right="113"/>
    </w:pPr>
    <w:tblPr>
      <w:tblStyleRowBandSize w:val="1"/>
      <w:tblStyleColBandSize w:val="1"/>
      <w:tblBorders>
        <w:top w:val="single" w:sz="18" w:space="0" w:color="CEDAFC" w:themeColor="accent1" w:themeTint="33"/>
        <w:bottom w:val="single" w:sz="18" w:space="0" w:color="CEDAFC" w:themeColor="accent1" w:themeTint="33"/>
        <w:insideH w:val="single" w:sz="18" w:space="0" w:color="CEDAFC" w:themeColor="accent1" w:themeTint="33"/>
      </w:tblBorders>
      <w:tblCellMar>
        <w:left w:w="0" w:type="dxa"/>
        <w:right w:w="0" w:type="dxa"/>
      </w:tblCellMar>
    </w:tblPr>
    <w:trPr>
      <w:cantSplit/>
    </w:trPr>
    <w:tcPr>
      <w:shd w:val="clear" w:color="auto" w:fill="auto"/>
    </w:tcPr>
    <w:tblStylePr w:type="firstRow">
      <w:rPr>
        <w:color w:val="FFFFFF" w:themeColor="background1"/>
      </w:rPr>
      <w:tblPr/>
      <w:tcPr>
        <w:tcBorders>
          <w:top w:val="single" w:sz="18" w:space="0" w:color="E8EEFD"/>
          <w:left w:val="nil"/>
          <w:bottom w:val="nil"/>
          <w:right w:val="nil"/>
          <w:insideH w:val="nil"/>
          <w:insideV w:val="nil"/>
          <w:tl2br w:val="nil"/>
          <w:tr2bl w:val="nil"/>
        </w:tcBorders>
        <w:shd w:val="clear" w:color="auto" w:fill="0F4BEB" w:themeFill="accent1"/>
      </w:tcPr>
    </w:tblStylePr>
    <w:tblStylePr w:type="lastRow">
      <w:rPr>
        <w:b/>
      </w:rPr>
      <w:tblPr/>
      <w:tcPr>
        <w:shd w:val="clear" w:color="auto" w:fill="ECF1FE"/>
      </w:tcPr>
    </w:tblStylePr>
    <w:tblStylePr w:type="firstCol">
      <w:rPr>
        <w:color w:val="FFFFFF" w:themeColor="background1"/>
      </w:rPr>
      <w:tblPr/>
      <w:tcPr>
        <w:tcBorders>
          <w:top w:val="nil"/>
          <w:left w:val="nil"/>
          <w:bottom w:val="single" w:sz="18" w:space="0" w:color="CEDAFC" w:themeColor="accent1" w:themeTint="33"/>
          <w:right w:val="nil"/>
          <w:insideH w:val="single" w:sz="18" w:space="0" w:color="CEDAFC" w:themeColor="accent1" w:themeTint="33"/>
          <w:insideV w:val="nil"/>
        </w:tcBorders>
        <w:shd w:val="clear" w:color="auto" w:fill="0F4BEB" w:themeFill="accent1"/>
      </w:tcPr>
    </w:tblStylePr>
    <w:tblStylePr w:type="lastCol">
      <w:tblPr/>
      <w:tcPr>
        <w:shd w:val="clear" w:color="auto" w:fill="ECF1FE"/>
      </w:tcPr>
    </w:tblStylePr>
    <w:tblStylePr w:type="band2Vert">
      <w:tblPr/>
      <w:tcPr>
        <w:shd w:val="clear" w:color="auto" w:fill="ECF1FE"/>
      </w:tcPr>
    </w:tblStylePr>
    <w:tblStylePr w:type="band2Horz">
      <w:tblPr/>
      <w:tcPr>
        <w:shd w:val="clear" w:color="auto" w:fill="ECF1FE"/>
      </w:tcPr>
    </w:tblStylePr>
  </w:style>
  <w:style w:type="table" w:customStyle="1" w:styleId="ShadedBlueTable">
    <w:name w:val="Shaded Blue Table"/>
    <w:basedOn w:val="a5"/>
    <w:uiPriority w:val="99"/>
    <w:rsid w:val="005D76A1"/>
    <w:pPr>
      <w:spacing w:before="0" w:after="0"/>
      <w:ind w:left="113" w:right="113"/>
    </w:pPr>
    <w:tblPr>
      <w:tblStyleRowBandSize w:val="1"/>
      <w:tblStyleColBandSize w:val="1"/>
      <w:tblBorders>
        <w:insideH w:val="single" w:sz="6" w:space="0" w:color="FFFFFF" w:themeColor="background1"/>
        <w:insideV w:val="single" w:sz="6" w:space="0" w:color="FFFFFF" w:themeColor="background1"/>
      </w:tblBorders>
      <w:tblCellMar>
        <w:left w:w="0" w:type="dxa"/>
        <w:right w:w="0" w:type="dxa"/>
      </w:tblCellMar>
    </w:tblPr>
    <w:trPr>
      <w:cantSplit/>
    </w:trPr>
    <w:tcPr>
      <w:shd w:val="clear" w:color="auto" w:fill="E8EEFD"/>
    </w:tcPr>
    <w:tblStylePr w:type="firstRow">
      <w:rPr>
        <w:color w:val="FFFFFF" w:themeColor="background1"/>
      </w:rPr>
      <w:tblPr/>
      <w:tcPr>
        <w:tcBorders>
          <w:top w:val="single" w:sz="36" w:space="0" w:color="auto"/>
        </w:tcBorders>
        <w:shd w:val="clear" w:color="auto" w:fill="0F4BEB" w:themeFill="accent1"/>
      </w:tcPr>
    </w:tblStylePr>
    <w:tblStylePr w:type="lastRow">
      <w:rPr>
        <w:b/>
      </w:rPr>
      <w:tblPr/>
      <w:tcPr>
        <w:shd w:val="clear" w:color="auto" w:fill="CEDAFC" w:themeFill="accent1" w:themeFillTint="33"/>
      </w:tcPr>
    </w:tblStylePr>
    <w:tblStylePr w:type="firstCol">
      <w:rPr>
        <w:color w:val="FFFFFF" w:themeColor="background1"/>
      </w:rPr>
      <w:tblPr/>
      <w:tcPr>
        <w:shd w:val="clear" w:color="auto" w:fill="0F4BEB" w:themeFill="accent1"/>
      </w:tcPr>
    </w:tblStylePr>
    <w:tblStylePr w:type="lastCol">
      <w:tblPr/>
      <w:tcPr>
        <w:shd w:val="clear" w:color="auto" w:fill="CEDAFC" w:themeFill="accent1" w:themeFillTint="33"/>
      </w:tcPr>
    </w:tblStylePr>
    <w:tblStylePr w:type="band2Vert">
      <w:tblPr/>
      <w:tcPr>
        <w:shd w:val="clear" w:color="auto" w:fill="CEDAFC" w:themeFill="accent1" w:themeFillTint="33"/>
      </w:tcPr>
    </w:tblStylePr>
    <w:tblStylePr w:type="band2Horz">
      <w:tblPr/>
      <w:tcPr>
        <w:shd w:val="clear" w:color="auto" w:fill="CEDAFC" w:themeFill="accent1" w:themeFillTint="33"/>
      </w:tcPr>
    </w:tblStylePr>
  </w:style>
  <w:style w:type="character" w:styleId="afb">
    <w:name w:val="FollowedHyperlink"/>
    <w:basedOn w:val="a4"/>
    <w:uiPriority w:val="99"/>
    <w:rsid w:val="00BF1F87"/>
    <w:rPr>
      <w:color w:val="0F4BEB" w:themeColor="accent1"/>
      <w:u w:val="single"/>
    </w:rPr>
  </w:style>
  <w:style w:type="paragraph" w:customStyle="1" w:styleId="AppendixH1">
    <w:name w:val="Appendix H1"/>
    <w:basedOn w:val="a2"/>
    <w:next w:val="a3"/>
    <w:uiPriority w:val="11"/>
    <w:semiHidden/>
    <w:qFormat/>
    <w:rsid w:val="00E33EF7"/>
    <w:pPr>
      <w:pageBreakBefore/>
      <w:tabs>
        <w:tab w:val="left" w:pos="567"/>
      </w:tabs>
      <w:spacing w:before="60" w:after="320"/>
      <w:outlineLvl w:val="0"/>
    </w:pPr>
    <w:rPr>
      <w:rFonts w:eastAsia="Times New Roman" w:cs="Times New Roman"/>
      <w:b/>
      <w:sz w:val="36"/>
      <w:szCs w:val="24"/>
      <w:lang w:eastAsia="en-AU"/>
    </w:rPr>
  </w:style>
  <w:style w:type="paragraph" w:customStyle="1" w:styleId="AppendixH2">
    <w:name w:val="Appendix H2"/>
    <w:basedOn w:val="21"/>
    <w:next w:val="a3"/>
    <w:uiPriority w:val="11"/>
    <w:semiHidden/>
    <w:qFormat/>
    <w:rsid w:val="00E33EF7"/>
    <w:pPr>
      <w:tabs>
        <w:tab w:val="left" w:pos="851"/>
      </w:tabs>
    </w:pPr>
    <w:rPr>
      <w:iCs w:val="0"/>
    </w:rPr>
  </w:style>
  <w:style w:type="paragraph" w:customStyle="1" w:styleId="AppendixH3">
    <w:name w:val="Appendix H3"/>
    <w:basedOn w:val="31"/>
    <w:next w:val="a3"/>
    <w:uiPriority w:val="11"/>
    <w:semiHidden/>
    <w:qFormat/>
    <w:rsid w:val="00E33EF7"/>
    <w:pPr>
      <w:tabs>
        <w:tab w:val="left" w:pos="851"/>
      </w:tabs>
    </w:p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20">
    <w:name w:val="List Bullet 2"/>
    <w:basedOn w:val="a1"/>
    <w:uiPriority w:val="19"/>
    <w:rsid w:val="004F2A3C"/>
    <w:pPr>
      <w:numPr>
        <w:ilvl w:val="1"/>
      </w:numPr>
    </w:pPr>
  </w:style>
  <w:style w:type="paragraph" w:styleId="30">
    <w:name w:val="List Bullet 3"/>
    <w:basedOn w:val="a1"/>
    <w:uiPriority w:val="19"/>
    <w:rsid w:val="004F2A3C"/>
    <w:pPr>
      <w:numPr>
        <w:ilvl w:val="2"/>
      </w:numPr>
    </w:pPr>
  </w:style>
  <w:style w:type="paragraph" w:styleId="40">
    <w:name w:val="List Bullet 4"/>
    <w:basedOn w:val="a1"/>
    <w:uiPriority w:val="19"/>
    <w:rsid w:val="004F2A3C"/>
    <w:pPr>
      <w:numPr>
        <w:ilvl w:val="3"/>
      </w:numPr>
    </w:pPr>
  </w:style>
  <w:style w:type="paragraph" w:styleId="50">
    <w:name w:val="List Bullet 5"/>
    <w:basedOn w:val="a1"/>
    <w:uiPriority w:val="19"/>
    <w:rsid w:val="004F2A3C"/>
    <w:pPr>
      <w:numPr>
        <w:ilvl w:val="4"/>
      </w:numPr>
    </w:pPr>
  </w:style>
  <w:style w:type="paragraph" w:customStyle="1" w:styleId="ListBullet6">
    <w:name w:val="List Bullet 6"/>
    <w:basedOn w:val="a1"/>
    <w:uiPriority w:val="19"/>
    <w:rsid w:val="004F2A3C"/>
    <w:pPr>
      <w:numPr>
        <w:ilvl w:val="5"/>
      </w:numPr>
    </w:pPr>
  </w:style>
  <w:style w:type="paragraph" w:styleId="2">
    <w:name w:val="List Number 2"/>
    <w:basedOn w:val="a0"/>
    <w:uiPriority w:val="19"/>
    <w:rsid w:val="004F2A3C"/>
    <w:pPr>
      <w:numPr>
        <w:ilvl w:val="1"/>
      </w:numPr>
    </w:pPr>
  </w:style>
  <w:style w:type="paragraph" w:styleId="3">
    <w:name w:val="List Number 3"/>
    <w:basedOn w:val="a0"/>
    <w:uiPriority w:val="19"/>
    <w:rsid w:val="004F2A3C"/>
    <w:pPr>
      <w:numPr>
        <w:ilvl w:val="2"/>
      </w:numPr>
    </w:pPr>
  </w:style>
  <w:style w:type="paragraph" w:styleId="4">
    <w:name w:val="List Number 4"/>
    <w:basedOn w:val="a0"/>
    <w:uiPriority w:val="19"/>
    <w:rsid w:val="004F2A3C"/>
    <w:pPr>
      <w:numPr>
        <w:ilvl w:val="3"/>
      </w:numPr>
    </w:pPr>
  </w:style>
  <w:style w:type="paragraph" w:styleId="5">
    <w:name w:val="List Number 5"/>
    <w:basedOn w:val="a0"/>
    <w:uiPriority w:val="19"/>
    <w:rsid w:val="004F2A3C"/>
    <w:pPr>
      <w:numPr>
        <w:ilvl w:val="4"/>
      </w:numPr>
    </w:pPr>
  </w:style>
  <w:style w:type="paragraph" w:customStyle="1" w:styleId="ListNumber6">
    <w:name w:val="List Number 6"/>
    <w:basedOn w:val="a0"/>
    <w:uiPriority w:val="19"/>
    <w:rsid w:val="004F2A3C"/>
    <w:pPr>
      <w:numPr>
        <w:ilvl w:val="5"/>
      </w:numPr>
    </w:pPr>
  </w:style>
  <w:style w:type="paragraph" w:customStyle="1" w:styleId="ListParagraph2">
    <w:name w:val="List Paragraph 2"/>
    <w:basedOn w:val="a"/>
    <w:uiPriority w:val="19"/>
    <w:rsid w:val="004F2A3C"/>
    <w:pPr>
      <w:numPr>
        <w:ilvl w:val="1"/>
      </w:numPr>
    </w:pPr>
  </w:style>
  <w:style w:type="paragraph" w:customStyle="1" w:styleId="ListParagraph3">
    <w:name w:val="List Paragraph 3"/>
    <w:basedOn w:val="a"/>
    <w:uiPriority w:val="19"/>
    <w:rsid w:val="004F2A3C"/>
    <w:pPr>
      <w:numPr>
        <w:ilvl w:val="2"/>
      </w:numPr>
    </w:pPr>
  </w:style>
  <w:style w:type="paragraph" w:customStyle="1" w:styleId="ListParagraph4">
    <w:name w:val="List Paragraph 4"/>
    <w:basedOn w:val="a"/>
    <w:uiPriority w:val="19"/>
    <w:rsid w:val="004F2A3C"/>
    <w:pPr>
      <w:numPr>
        <w:ilvl w:val="3"/>
      </w:numPr>
    </w:pPr>
  </w:style>
  <w:style w:type="paragraph" w:customStyle="1" w:styleId="ListParagraph5">
    <w:name w:val="List Paragraph 5"/>
    <w:basedOn w:val="a"/>
    <w:uiPriority w:val="19"/>
    <w:rsid w:val="004F2A3C"/>
    <w:pPr>
      <w:numPr>
        <w:ilvl w:val="4"/>
      </w:numPr>
    </w:pPr>
  </w:style>
  <w:style w:type="paragraph" w:customStyle="1" w:styleId="ListParagraph6">
    <w:name w:val="List Paragraph 6"/>
    <w:basedOn w:val="a"/>
    <w:uiPriority w:val="19"/>
    <w:rsid w:val="004F2A3C"/>
    <w:pPr>
      <w:numPr>
        <w:ilvl w:val="5"/>
      </w:numPr>
    </w:pPr>
  </w:style>
  <w:style w:type="numbering" w:customStyle="1" w:styleId="ListBullet">
    <w:name w:val="List_Bullet"/>
    <w:uiPriority w:val="99"/>
    <w:rsid w:val="00D63B2E"/>
    <w:pPr>
      <w:numPr>
        <w:numId w:val="2"/>
      </w:numPr>
    </w:pPr>
  </w:style>
  <w:style w:type="numbering" w:customStyle="1" w:styleId="ListNumberedHeadings">
    <w:name w:val="List_NumberedHeadings"/>
    <w:uiPriority w:val="99"/>
    <w:rsid w:val="003A08A5"/>
    <w:pPr>
      <w:numPr>
        <w:numId w:val="4"/>
      </w:numPr>
    </w:pPr>
  </w:style>
  <w:style w:type="numbering" w:customStyle="1" w:styleId="ListTableBullet">
    <w:name w:val="List_TableBullet"/>
    <w:uiPriority w:val="99"/>
    <w:rsid w:val="00411DB3"/>
    <w:pPr>
      <w:numPr>
        <w:numId w:val="6"/>
      </w:numPr>
    </w:pPr>
  </w:style>
  <w:style w:type="numbering" w:customStyle="1" w:styleId="ListTableNumber">
    <w:name w:val="List_TableNumber"/>
    <w:uiPriority w:val="99"/>
    <w:rsid w:val="00411DB3"/>
    <w:pPr>
      <w:numPr>
        <w:numId w:val="7"/>
      </w:numPr>
    </w:pPr>
  </w:style>
  <w:style w:type="paragraph" w:customStyle="1" w:styleId="TableBullet2">
    <w:name w:val="Table Bullet 2"/>
    <w:basedOn w:val="TableBullet"/>
    <w:uiPriority w:val="19"/>
    <w:rsid w:val="00411DB3"/>
    <w:pPr>
      <w:numPr>
        <w:ilvl w:val="1"/>
      </w:numPr>
    </w:pPr>
  </w:style>
  <w:style w:type="paragraph" w:customStyle="1" w:styleId="TableNumber2">
    <w:name w:val="Table Number 2"/>
    <w:basedOn w:val="TableNumber"/>
    <w:uiPriority w:val="19"/>
    <w:rsid w:val="00411DB3"/>
    <w:pPr>
      <w:numPr>
        <w:ilvl w:val="1"/>
      </w:numPr>
    </w:pPr>
  </w:style>
  <w:style w:type="paragraph" w:customStyle="1" w:styleId="BodyText4">
    <w:name w:val="Body Text 4"/>
    <w:basedOn w:val="34"/>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LInedBlackTable">
    <w:name w:val="LIned Black Table"/>
    <w:basedOn w:val="LinedBlueTable"/>
    <w:uiPriority w:val="99"/>
    <w:rsid w:val="003E6AF6"/>
    <w:tblPr>
      <w:tblBorders>
        <w:top w:val="single" w:sz="24" w:space="0" w:color="DADADA" w:themeColor="background2" w:themeShade="E6"/>
        <w:bottom w:val="single" w:sz="24" w:space="0" w:color="DADADA" w:themeColor="background2" w:themeShade="E6"/>
        <w:insideH w:val="single" w:sz="24" w:space="0" w:color="DADADA" w:themeColor="background2" w:themeShade="E6"/>
      </w:tblBorders>
    </w:tblPr>
    <w:tcPr>
      <w:shd w:val="clear" w:color="auto" w:fill="auto"/>
    </w:tcPr>
    <w:tblStylePr w:type="firstRow">
      <w:rPr>
        <w:color w:val="FFFFFF" w:themeColor="background1"/>
      </w:rPr>
      <w:tblPr/>
      <w:tcPr>
        <w:tcBorders>
          <w:top w:val="single" w:sz="18" w:space="0" w:color="E8EEFD"/>
          <w:left w:val="nil"/>
          <w:bottom w:val="nil"/>
          <w:right w:val="nil"/>
          <w:insideH w:val="nil"/>
          <w:insideV w:val="nil"/>
          <w:tl2br w:val="nil"/>
          <w:tr2bl w:val="nil"/>
        </w:tcBorders>
        <w:shd w:val="clear" w:color="auto" w:fill="000000" w:themeFill="text1"/>
      </w:tcPr>
    </w:tblStylePr>
    <w:tblStylePr w:type="lastRow">
      <w:rPr>
        <w:b/>
      </w:rPr>
      <w:tblPr/>
      <w:tcPr>
        <w:shd w:val="clear" w:color="auto" w:fill="F2F2F2" w:themeFill="background2"/>
      </w:tcPr>
    </w:tblStylePr>
    <w:tblStylePr w:type="firstCol">
      <w:rPr>
        <w:color w:val="FFFFFF" w:themeColor="background1"/>
      </w:rPr>
      <w:tblPr/>
      <w:tcPr>
        <w:tcBorders>
          <w:top w:val="nil"/>
          <w:left w:val="nil"/>
          <w:bottom w:val="single" w:sz="18" w:space="0" w:color="CEDAFC" w:themeColor="accent1" w:themeTint="33"/>
          <w:right w:val="nil"/>
          <w:insideH w:val="single" w:sz="18" w:space="0" w:color="CEDAFC" w:themeColor="accent1" w:themeTint="33"/>
          <w:insideV w:val="nil"/>
        </w:tcBorders>
        <w:shd w:val="clear" w:color="auto" w:fill="000000" w:themeFill="text1"/>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paragraph" w:styleId="afc">
    <w:name w:val="footnote text"/>
    <w:basedOn w:val="a2"/>
    <w:link w:val="afd"/>
    <w:uiPriority w:val="99"/>
    <w:qFormat/>
    <w:rsid w:val="006E5FA7"/>
    <w:pPr>
      <w:tabs>
        <w:tab w:val="left" w:pos="284"/>
      </w:tabs>
    </w:pPr>
    <w:rPr>
      <w:sz w:val="16"/>
      <w:szCs w:val="20"/>
    </w:rPr>
  </w:style>
  <w:style w:type="numbering" w:customStyle="1" w:styleId="ListChapter">
    <w:name w:val="List_Chapter"/>
    <w:uiPriority w:val="99"/>
    <w:rsid w:val="00EB6DEC"/>
    <w:pPr>
      <w:numPr>
        <w:numId w:val="14"/>
      </w:numPr>
    </w:pPr>
  </w:style>
  <w:style w:type="character" w:styleId="afe">
    <w:name w:val="Placeholder Text"/>
    <w:basedOn w:val="a4"/>
    <w:uiPriority w:val="99"/>
    <w:semiHidden/>
    <w:rsid w:val="002106C4"/>
    <w:rPr>
      <w:color w:val="808080"/>
    </w:rPr>
  </w:style>
  <w:style w:type="table" w:customStyle="1" w:styleId="TableNoBorders">
    <w:name w:val="Table No Borders"/>
    <w:basedOn w:val="a5"/>
    <w:uiPriority w:val="99"/>
    <w:rsid w:val="009D07AF"/>
    <w:pPr>
      <w:spacing w:before="0" w:after="0"/>
    </w:pPr>
    <w:tblPr/>
  </w:style>
  <w:style w:type="character" w:customStyle="1" w:styleId="afd">
    <w:name w:val="脚注文字列 (文字)"/>
    <w:basedOn w:val="a4"/>
    <w:link w:val="afc"/>
    <w:uiPriority w:val="99"/>
    <w:rsid w:val="006E5FA7"/>
    <w:rPr>
      <w:rFonts w:ascii="Calibri" w:hAnsi="Calibri"/>
      <w:sz w:val="16"/>
      <w:szCs w:val="20"/>
    </w:rPr>
  </w:style>
  <w:style w:type="character" w:styleId="aff">
    <w:name w:val="footnote reference"/>
    <w:basedOn w:val="a4"/>
    <w:uiPriority w:val="99"/>
    <w:rsid w:val="00024D7F"/>
    <w:rPr>
      <w:vertAlign w:val="superscript"/>
    </w:rPr>
  </w:style>
  <w:style w:type="paragraph" w:customStyle="1" w:styleId="UTSHeaderWhite">
    <w:name w:val="UTS Header White"/>
    <w:qFormat/>
    <w:rsid w:val="00D821D0"/>
    <w:pPr>
      <w:spacing w:before="0" w:after="0" w:line="180" w:lineRule="exact"/>
    </w:pPr>
    <w:rPr>
      <w:color w:val="FFFFFF" w:themeColor="background1"/>
      <w:sz w:val="14"/>
      <w:szCs w:val="14"/>
    </w:rPr>
  </w:style>
  <w:style w:type="character" w:customStyle="1" w:styleId="UnresolvedMention1">
    <w:name w:val="Unresolved Mention1"/>
    <w:basedOn w:val="a4"/>
    <w:uiPriority w:val="99"/>
    <w:semiHidden/>
    <w:unhideWhenUsed/>
    <w:rsid w:val="007349F0"/>
    <w:rPr>
      <w:color w:val="808080"/>
      <w:shd w:val="clear" w:color="auto" w:fill="E6E6E6"/>
    </w:rPr>
  </w:style>
  <w:style w:type="character" w:styleId="aff0">
    <w:name w:val="annotation reference"/>
    <w:basedOn w:val="a4"/>
    <w:uiPriority w:val="99"/>
    <w:semiHidden/>
    <w:rsid w:val="007553DA"/>
    <w:rPr>
      <w:sz w:val="16"/>
      <w:szCs w:val="16"/>
    </w:rPr>
  </w:style>
  <w:style w:type="paragraph" w:styleId="aff1">
    <w:name w:val="annotation text"/>
    <w:basedOn w:val="a2"/>
    <w:link w:val="aff2"/>
    <w:uiPriority w:val="99"/>
    <w:rsid w:val="007553DA"/>
    <w:rPr>
      <w:sz w:val="20"/>
      <w:szCs w:val="20"/>
    </w:rPr>
  </w:style>
  <w:style w:type="character" w:customStyle="1" w:styleId="aff2">
    <w:name w:val="コメント文字列 (文字)"/>
    <w:basedOn w:val="a4"/>
    <w:link w:val="aff1"/>
    <w:uiPriority w:val="99"/>
    <w:rsid w:val="007553DA"/>
    <w:rPr>
      <w:rFonts w:ascii="Calibri" w:hAnsi="Calibri"/>
      <w:sz w:val="20"/>
      <w:szCs w:val="20"/>
    </w:rPr>
  </w:style>
  <w:style w:type="paragraph" w:styleId="aff3">
    <w:name w:val="annotation subject"/>
    <w:basedOn w:val="aff1"/>
    <w:next w:val="aff1"/>
    <w:link w:val="aff4"/>
    <w:uiPriority w:val="99"/>
    <w:semiHidden/>
    <w:unhideWhenUsed/>
    <w:rsid w:val="007553DA"/>
    <w:rPr>
      <w:b/>
      <w:bCs/>
    </w:rPr>
  </w:style>
  <w:style w:type="character" w:customStyle="1" w:styleId="aff4">
    <w:name w:val="コメント内容 (文字)"/>
    <w:basedOn w:val="aff2"/>
    <w:link w:val="aff3"/>
    <w:uiPriority w:val="99"/>
    <w:semiHidden/>
    <w:rsid w:val="007553DA"/>
    <w:rPr>
      <w:rFonts w:ascii="Calibri" w:hAnsi="Calibri"/>
      <w:b/>
      <w:bCs/>
      <w:sz w:val="20"/>
      <w:szCs w:val="20"/>
    </w:rPr>
  </w:style>
  <w:style w:type="paragraph" w:customStyle="1" w:styleId="Default">
    <w:name w:val="Default"/>
    <w:rsid w:val="007553DA"/>
    <w:pPr>
      <w:autoSpaceDE w:val="0"/>
      <w:autoSpaceDN w:val="0"/>
      <w:adjustRightInd w:val="0"/>
      <w:spacing w:before="0" w:after="0"/>
    </w:pPr>
    <w:rPr>
      <w:rFonts w:ascii="Times New Roman" w:hAnsi="Times New Roman" w:cs="Times New Roman"/>
      <w:color w:val="000000"/>
      <w:sz w:val="24"/>
      <w:szCs w:val="24"/>
    </w:rPr>
  </w:style>
  <w:style w:type="character" w:styleId="aff5">
    <w:name w:val="Unresolved Mention"/>
    <w:basedOn w:val="a4"/>
    <w:uiPriority w:val="99"/>
    <w:semiHidden/>
    <w:unhideWhenUsed/>
    <w:rsid w:val="00443FE8"/>
    <w:rPr>
      <w:color w:val="605E5C"/>
      <w:shd w:val="clear" w:color="auto" w:fill="E1DFDD"/>
    </w:rPr>
  </w:style>
  <w:style w:type="paragraph" w:customStyle="1" w:styleId="EndNoteBibliographyTitle">
    <w:name w:val="EndNote Bibliography Title"/>
    <w:basedOn w:val="a2"/>
    <w:link w:val="EndNoteBibliographyTitleChar"/>
    <w:rsid w:val="00BF2331"/>
    <w:pPr>
      <w:jc w:val="center"/>
    </w:pPr>
    <w:rPr>
      <w:rFonts w:cs="Calibri"/>
      <w:noProof/>
      <w:lang w:val="en-US"/>
    </w:rPr>
  </w:style>
  <w:style w:type="character" w:customStyle="1" w:styleId="EndNoteBibliographyTitleChar">
    <w:name w:val="EndNote Bibliography Title Char"/>
    <w:basedOn w:val="a7"/>
    <w:link w:val="EndNoteBibliographyTitle"/>
    <w:rsid w:val="00BF2331"/>
    <w:rPr>
      <w:rFonts w:ascii="Calibri" w:eastAsia="Times New Roman" w:hAnsi="Calibri" w:cs="Calibri"/>
      <w:noProof/>
      <w:sz w:val="18"/>
      <w:szCs w:val="24"/>
      <w:lang w:val="en-US" w:eastAsia="en-AU"/>
    </w:rPr>
  </w:style>
  <w:style w:type="paragraph" w:customStyle="1" w:styleId="EndNoteBibliography">
    <w:name w:val="EndNote Bibliography"/>
    <w:basedOn w:val="a2"/>
    <w:link w:val="EndNoteBibliographyChar"/>
    <w:rsid w:val="00BF2331"/>
    <w:rPr>
      <w:rFonts w:cs="Calibri"/>
      <w:noProof/>
      <w:lang w:val="en-US"/>
    </w:rPr>
  </w:style>
  <w:style w:type="character" w:customStyle="1" w:styleId="EndNoteBibliographyChar">
    <w:name w:val="EndNote Bibliography Char"/>
    <w:basedOn w:val="a7"/>
    <w:link w:val="EndNoteBibliography"/>
    <w:rsid w:val="00BF2331"/>
    <w:rPr>
      <w:rFonts w:ascii="Calibri" w:eastAsia="Times New Roman" w:hAnsi="Calibri" w:cs="Calibri"/>
      <w:noProof/>
      <w:sz w:val="18"/>
      <w:szCs w:val="24"/>
      <w:lang w:val="en-US" w:eastAsia="en-AU"/>
    </w:rPr>
  </w:style>
  <w:style w:type="paragraph" w:styleId="aff6">
    <w:name w:val="Revision"/>
    <w:hidden/>
    <w:uiPriority w:val="99"/>
    <w:semiHidden/>
    <w:rsid w:val="00211507"/>
    <w:pPr>
      <w:spacing w:before="0" w:after="0"/>
    </w:pPr>
    <w:rPr>
      <w:rFonts w:ascii="Calibri" w:hAnsi="Calibri"/>
      <w:sz w:val="18"/>
    </w:rPr>
  </w:style>
  <w:style w:type="character" w:customStyle="1" w:styleId="cf01">
    <w:name w:val="cf01"/>
    <w:basedOn w:val="a4"/>
    <w:rsid w:val="009E18DF"/>
    <w:rPr>
      <w:rFonts w:ascii="Segoe UI" w:hAnsi="Segoe UI" w:cs="Segoe UI" w:hint="default"/>
      <w:sz w:val="18"/>
      <w:szCs w:val="18"/>
    </w:rPr>
  </w:style>
  <w:style w:type="character" w:customStyle="1" w:styleId="mixed-citation">
    <w:name w:val="mixed-citation"/>
    <w:basedOn w:val="a4"/>
    <w:rsid w:val="00A656EF"/>
  </w:style>
  <w:style w:type="character" w:customStyle="1" w:styleId="ref-title">
    <w:name w:val="ref-title"/>
    <w:basedOn w:val="a4"/>
    <w:rsid w:val="00A656EF"/>
  </w:style>
  <w:style w:type="character" w:customStyle="1" w:styleId="ref-journal">
    <w:name w:val="ref-journal"/>
    <w:basedOn w:val="a4"/>
    <w:rsid w:val="00A656EF"/>
  </w:style>
  <w:style w:type="character" w:customStyle="1" w:styleId="ref-vol">
    <w:name w:val="ref-vol"/>
    <w:basedOn w:val="a4"/>
    <w:rsid w:val="00A656EF"/>
  </w:style>
  <w:style w:type="character" w:customStyle="1" w:styleId="ref-iss">
    <w:name w:val="ref-iss"/>
    <w:basedOn w:val="a4"/>
    <w:rsid w:val="00A656EF"/>
  </w:style>
  <w:style w:type="character" w:styleId="aff7">
    <w:name w:val="Strong"/>
    <w:basedOn w:val="a4"/>
    <w:uiPriority w:val="99"/>
    <w:semiHidden/>
    <w:rsid w:val="009969D9"/>
    <w:rPr>
      <w:b/>
      <w:bCs/>
    </w:rPr>
  </w:style>
  <w:style w:type="character" w:customStyle="1" w:styleId="af3">
    <w:name w:val="リスト段落 (文字)"/>
    <w:aliases w:val="UTS Para (文字),Recommendation (文字),List Paragraph1 (文字),List Paragraph11 (文字),Bullet point (文字),List Paragraph Number (文字),Body text (文字),Bullet Point (文字),Bulletr List Paragraph (文字),Content descriptions (文字),FooterText (文字),L (文字)"/>
    <w:basedOn w:val="a4"/>
    <w:link w:val="a"/>
    <w:uiPriority w:val="34"/>
    <w:qFormat/>
    <w:rsid w:val="00171E11"/>
    <w:rPr>
      <w:rFonts w:ascii="Calibri Light" w:eastAsia="Times New Roman" w:hAnsi="Calibri Light" w:cs="Times New Roman"/>
      <w:szCs w:val="24"/>
      <w:lang w:eastAsia="en-AU"/>
    </w:rPr>
  </w:style>
  <w:style w:type="character" w:customStyle="1" w:styleId="markedcontent">
    <w:name w:val="markedcontent"/>
    <w:basedOn w:val="a4"/>
    <w:rsid w:val="00883A00"/>
  </w:style>
  <w:style w:type="table" w:styleId="36">
    <w:name w:val="Plain Table 3"/>
    <w:basedOn w:val="a5"/>
    <w:uiPriority w:val="43"/>
    <w:rsid w:val="00883A00"/>
    <w:pPr>
      <w:spacing w:before="0" w:after="0"/>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8">
    <w:name w:val="Grid Table Light"/>
    <w:basedOn w:val="a5"/>
    <w:uiPriority w:val="40"/>
    <w:rsid w:val="000A293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YHeading2">
    <w:name w:val="AY Heading 2"/>
    <w:basedOn w:val="21"/>
    <w:next w:val="a2"/>
    <w:link w:val="AYHeading2Char"/>
    <w:qFormat/>
    <w:rsid w:val="00F93C4D"/>
    <w:pPr>
      <w:spacing w:before="40" w:after="0" w:line="259" w:lineRule="auto"/>
    </w:pPr>
    <w:rPr>
      <w:rFonts w:asciiTheme="majorHAnsi" w:eastAsiaTheme="majorEastAsia" w:hAnsiTheme="majorHAnsi" w:cstheme="majorBidi"/>
      <w:bCs w:val="0"/>
      <w:iCs w:val="0"/>
      <w:sz w:val="26"/>
      <w:szCs w:val="26"/>
      <w:lang w:eastAsia="zh-CN"/>
    </w:rPr>
  </w:style>
  <w:style w:type="paragraph" w:customStyle="1" w:styleId="AYHeading3">
    <w:name w:val="AY Heading 3"/>
    <w:basedOn w:val="31"/>
    <w:next w:val="a2"/>
    <w:link w:val="AYHeading3Char"/>
    <w:qFormat/>
    <w:rsid w:val="00F93C4D"/>
    <w:pPr>
      <w:spacing w:before="40" w:after="0" w:line="259" w:lineRule="auto"/>
    </w:pPr>
    <w:rPr>
      <w:rFonts w:asciiTheme="majorHAnsi" w:eastAsiaTheme="majorEastAsia" w:hAnsiTheme="majorHAnsi" w:cstheme="majorBidi"/>
      <w:bCs/>
      <w:i/>
      <w:sz w:val="24"/>
      <w:lang w:eastAsia="zh-CN"/>
    </w:rPr>
  </w:style>
  <w:style w:type="character" w:customStyle="1" w:styleId="AYHeading2Char">
    <w:name w:val="AY Heading 2 Char"/>
    <w:basedOn w:val="22"/>
    <w:link w:val="AYHeading2"/>
    <w:rsid w:val="00F93C4D"/>
    <w:rPr>
      <w:rFonts w:asciiTheme="majorHAnsi" w:eastAsiaTheme="majorEastAsia" w:hAnsiTheme="majorHAnsi" w:cstheme="majorBidi"/>
      <w:b/>
      <w:bCs w:val="0"/>
      <w:iCs w:val="0"/>
      <w:sz w:val="26"/>
      <w:szCs w:val="26"/>
      <w:lang w:eastAsia="zh-CN"/>
    </w:rPr>
  </w:style>
  <w:style w:type="character" w:customStyle="1" w:styleId="AYHeading3Char">
    <w:name w:val="AY Heading 3 Char"/>
    <w:basedOn w:val="32"/>
    <w:link w:val="AYHeading3"/>
    <w:rsid w:val="00F93C4D"/>
    <w:rPr>
      <w:rFonts w:asciiTheme="majorHAnsi" w:eastAsiaTheme="majorEastAsia" w:hAnsiTheme="majorHAnsi" w:cstheme="majorBidi"/>
      <w:b/>
      <w:bCs/>
      <w:i/>
      <w:iCs/>
      <w:sz w:val="24"/>
      <w:szCs w:val="24"/>
      <w:lang w:eastAsia="zh-CN"/>
    </w:rPr>
  </w:style>
  <w:style w:type="paragraph" w:customStyle="1" w:styleId="AYCaption">
    <w:name w:val="AY Caption"/>
    <w:basedOn w:val="af8"/>
    <w:next w:val="a2"/>
    <w:link w:val="AYCaptionChar"/>
    <w:qFormat/>
    <w:rsid w:val="00F93C4D"/>
    <w:pPr>
      <w:keepNext w:val="0"/>
      <w:tabs>
        <w:tab w:val="clear" w:pos="1134"/>
      </w:tabs>
      <w:spacing w:before="0" w:after="200"/>
      <w:ind w:left="0" w:firstLine="0"/>
    </w:pPr>
    <w:rPr>
      <w:rFonts w:asciiTheme="minorHAnsi" w:hAnsiTheme="minorHAnsi"/>
      <w:i/>
      <w:iCs/>
      <w:sz w:val="24"/>
      <w:szCs w:val="18"/>
      <w:lang w:eastAsia="zh-CN"/>
    </w:rPr>
  </w:style>
  <w:style w:type="character" w:customStyle="1" w:styleId="AYCaptionChar">
    <w:name w:val="AY Caption Char"/>
    <w:basedOn w:val="a4"/>
    <w:link w:val="AYCaption"/>
    <w:rsid w:val="00F93C4D"/>
    <w:rPr>
      <w:rFonts w:eastAsiaTheme="minorEastAsia"/>
      <w:b/>
      <w:i/>
      <w:iCs/>
      <w:sz w:val="24"/>
      <w:szCs w:val="18"/>
      <w:lang w:eastAsia="zh-CN"/>
    </w:rPr>
  </w:style>
  <w:style w:type="paragraph" w:customStyle="1" w:styleId="AYtabletext">
    <w:name w:val="AY table text"/>
    <w:basedOn w:val="a3"/>
    <w:next w:val="a2"/>
    <w:link w:val="AYtabletextChar"/>
    <w:qFormat/>
    <w:rsid w:val="00F93C4D"/>
    <w:pPr>
      <w:spacing w:before="0" w:line="259" w:lineRule="auto"/>
    </w:pPr>
    <w:rPr>
      <w:rFonts w:eastAsiaTheme="minorEastAsia"/>
      <w:sz w:val="20"/>
      <w:lang w:eastAsia="zh-CN"/>
    </w:rPr>
  </w:style>
  <w:style w:type="character" w:customStyle="1" w:styleId="AYtabletextChar">
    <w:name w:val="AY table text Char"/>
    <w:basedOn w:val="a7"/>
    <w:link w:val="AYtabletext"/>
    <w:rsid w:val="00F93C4D"/>
    <w:rPr>
      <w:rFonts w:ascii="Calibri" w:eastAsiaTheme="minorEastAsia" w:hAnsi="Calibri" w:cs="Times New Roman"/>
      <w:sz w:val="20"/>
      <w:szCs w:val="24"/>
      <w:lang w:eastAsia="zh-CN"/>
    </w:rPr>
  </w:style>
  <w:style w:type="paragraph" w:customStyle="1" w:styleId="Pa1">
    <w:name w:val="Pa1"/>
    <w:basedOn w:val="a2"/>
    <w:next w:val="a2"/>
    <w:uiPriority w:val="99"/>
    <w:rsid w:val="00953BAC"/>
    <w:pPr>
      <w:autoSpaceDE w:val="0"/>
      <w:autoSpaceDN w:val="0"/>
      <w:adjustRightInd w:val="0"/>
      <w:spacing w:line="241" w:lineRule="atLeast"/>
    </w:pPr>
    <w:rPr>
      <w:rFonts w:ascii="Roboto" w:hAnsi="Roboto"/>
      <w:sz w:val="24"/>
      <w:szCs w:val="24"/>
      <w:lang w:eastAsia="zh-CN"/>
      <w14:ligatures w14:val="standardContextual"/>
    </w:rPr>
  </w:style>
  <w:style w:type="character" w:customStyle="1" w:styleId="A60">
    <w:name w:val="A6"/>
    <w:uiPriority w:val="99"/>
    <w:rsid w:val="00953BAC"/>
    <w:rPr>
      <w:rFonts w:cs="Roboto"/>
      <w:color w:val="211D1E"/>
      <w:sz w:val="18"/>
      <w:szCs w:val="18"/>
    </w:rPr>
  </w:style>
  <w:style w:type="character" w:styleId="aff9">
    <w:name w:val="Emphasis"/>
    <w:basedOn w:val="a4"/>
    <w:uiPriority w:val="20"/>
    <w:qFormat/>
    <w:rsid w:val="00F103AC"/>
    <w:rPr>
      <w:i/>
      <w:iCs/>
    </w:rPr>
  </w:style>
  <w:style w:type="character" w:customStyle="1" w:styleId="anchor-text">
    <w:name w:val="anchor-text"/>
    <w:basedOn w:val="a4"/>
    <w:rsid w:val="00F103AC"/>
  </w:style>
  <w:style w:type="table" w:styleId="2-5">
    <w:name w:val="Grid Table 2 Accent 5"/>
    <w:basedOn w:val="a5"/>
    <w:uiPriority w:val="47"/>
    <w:rsid w:val="00187A3F"/>
    <w:pPr>
      <w:spacing w:before="0" w:after="0"/>
    </w:pPr>
    <w:rPr>
      <w:kern w:val="2"/>
      <w14:ligatures w14:val="standardContextual"/>
    </w:rPr>
    <w:tblPr>
      <w:tblStyleRowBandSize w:val="1"/>
      <w:tblStyleColBandSize w:val="1"/>
      <w:tblBorders>
        <w:top w:val="single" w:sz="2" w:space="0" w:color="DDF557" w:themeColor="accent5" w:themeTint="99"/>
        <w:bottom w:val="single" w:sz="2" w:space="0" w:color="DDF557" w:themeColor="accent5" w:themeTint="99"/>
        <w:insideH w:val="single" w:sz="2" w:space="0" w:color="DDF557" w:themeColor="accent5" w:themeTint="99"/>
        <w:insideV w:val="single" w:sz="2" w:space="0" w:color="DDF557" w:themeColor="accent5" w:themeTint="99"/>
      </w:tblBorders>
    </w:tblPr>
    <w:tblStylePr w:type="firstRow">
      <w:rPr>
        <w:b/>
        <w:bCs/>
      </w:rPr>
      <w:tblPr/>
      <w:tcPr>
        <w:tcBorders>
          <w:top w:val="nil"/>
          <w:bottom w:val="single" w:sz="12" w:space="0" w:color="DDF557" w:themeColor="accent5" w:themeTint="99"/>
          <w:insideH w:val="nil"/>
          <w:insideV w:val="nil"/>
        </w:tcBorders>
        <w:shd w:val="clear" w:color="auto" w:fill="FFFFFF" w:themeFill="background1"/>
      </w:tcPr>
    </w:tblStylePr>
    <w:tblStylePr w:type="lastRow">
      <w:rPr>
        <w:b/>
        <w:bCs/>
      </w:rPr>
      <w:tblPr/>
      <w:tcPr>
        <w:tcBorders>
          <w:top w:val="double" w:sz="2" w:space="0" w:color="DDF55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BC7" w:themeFill="accent5" w:themeFillTint="33"/>
      </w:tcPr>
    </w:tblStylePr>
    <w:tblStylePr w:type="band1Horz">
      <w:tblPr/>
      <w:tcPr>
        <w:shd w:val="clear" w:color="auto" w:fill="F3FBC7" w:themeFill="accent5" w:themeFillTint="33"/>
      </w:tcPr>
    </w:tblStylePr>
  </w:style>
  <w:style w:type="table" w:styleId="12">
    <w:name w:val="Grid Table 1 Light"/>
    <w:basedOn w:val="a5"/>
    <w:uiPriority w:val="46"/>
    <w:rsid w:val="00187A3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0">
    <w:name w:val="TableText"/>
    <w:basedOn w:val="a2"/>
    <w:qFormat/>
    <w:rsid w:val="00E778F6"/>
    <w:pPr>
      <w:widowControl w:val="0"/>
    </w:pPr>
    <w:rPr>
      <w:rFonts w:ascii="Arial Narrow" w:eastAsia="Times New Roman" w:hAnsi="Arial Narrow" w:cs="Times New Roman"/>
      <w:sz w:val="20"/>
      <w:szCs w:val="21"/>
      <w:lang w:eastAsia="en-AU"/>
    </w:rPr>
  </w:style>
  <w:style w:type="character" w:customStyle="1" w:styleId="TableHeadingChar">
    <w:name w:val="TableHeading Char"/>
    <w:link w:val="TableHeading0"/>
    <w:locked/>
    <w:rsid w:val="00713850"/>
    <w:rPr>
      <w:b/>
      <w:sz w:val="20"/>
    </w:rPr>
  </w:style>
  <w:style w:type="paragraph" w:customStyle="1" w:styleId="TableHeading0">
    <w:name w:val="TableHeading"/>
    <w:basedOn w:val="a2"/>
    <w:link w:val="TableHeadingChar"/>
    <w:qFormat/>
    <w:rsid w:val="00713850"/>
    <w:pPr>
      <w:keepNext/>
      <w:keepLines/>
      <w:spacing w:after="60"/>
    </w:pPr>
    <w:rPr>
      <w:rFonts w:asciiTheme="minorHAnsi" w:hAnsiTheme="minorHAnsi"/>
      <w:b/>
      <w:sz w:val="20"/>
    </w:rPr>
  </w:style>
  <w:style w:type="character" w:customStyle="1" w:styleId="cf11">
    <w:name w:val="cf11"/>
    <w:basedOn w:val="a4"/>
    <w:rsid w:val="00FA13C0"/>
    <w:rPr>
      <w:rFonts w:ascii="Segoe UI" w:hAnsi="Segoe UI" w:cs="Segoe UI" w:hint="default"/>
      <w:sz w:val="18"/>
      <w:szCs w:val="18"/>
      <w:shd w:val="clear" w:color="auto" w:fill="FFFF00"/>
    </w:rPr>
  </w:style>
  <w:style w:type="paragraph" w:customStyle="1" w:styleId="xmsonormal">
    <w:name w:val="x_msonormal"/>
    <w:basedOn w:val="a2"/>
    <w:rsid w:val="00D84EEC"/>
    <w:rPr>
      <w:rFonts w:cs="Calibri"/>
      <w:sz w:val="22"/>
      <w:lang w:eastAsia="en-AU"/>
    </w:rPr>
  </w:style>
  <w:style w:type="character" w:customStyle="1" w:styleId="70">
    <w:name w:val="見出し 7 (文字)"/>
    <w:basedOn w:val="a4"/>
    <w:link w:val="7"/>
    <w:uiPriority w:val="9"/>
    <w:semiHidden/>
    <w:rsid w:val="00007385"/>
    <w:rPr>
      <w:rFonts w:asciiTheme="majorHAnsi" w:eastAsiaTheme="majorEastAsia" w:hAnsiTheme="majorHAnsi" w:cstheme="majorBidi"/>
      <w:i/>
      <w:iCs/>
      <w:color w:val="072574" w:themeColor="accent1" w:themeShade="7F"/>
      <w:kern w:val="2"/>
      <w14:ligatures w14:val="standardContextual"/>
    </w:rPr>
  </w:style>
  <w:style w:type="character" w:customStyle="1" w:styleId="80">
    <w:name w:val="見出し 8 (文字)"/>
    <w:basedOn w:val="a4"/>
    <w:link w:val="8"/>
    <w:uiPriority w:val="9"/>
    <w:semiHidden/>
    <w:rsid w:val="00007385"/>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90">
    <w:name w:val="見出し 9 (文字)"/>
    <w:basedOn w:val="a4"/>
    <w:link w:val="9"/>
    <w:uiPriority w:val="9"/>
    <w:semiHidden/>
    <w:rsid w:val="00007385"/>
    <w:rPr>
      <w:rFonts w:asciiTheme="majorHAnsi" w:eastAsiaTheme="majorEastAsia" w:hAnsiTheme="majorHAnsi" w:cstheme="majorBidi"/>
      <w:i/>
      <w:iCs/>
      <w:color w:val="272727" w:themeColor="text1" w:themeTint="D8"/>
      <w:kern w:val="2"/>
      <w:sz w:val="21"/>
      <w:szCs w:val="21"/>
      <w14:ligatures w14:val="standardContextual"/>
    </w:rPr>
  </w:style>
  <w:style w:type="paragraph" w:styleId="Web">
    <w:name w:val="Normal (Web)"/>
    <w:basedOn w:val="a2"/>
    <w:uiPriority w:val="99"/>
    <w:semiHidden/>
    <w:unhideWhenUsed/>
    <w:rsid w:val="00007385"/>
    <w:pPr>
      <w:spacing w:before="100" w:beforeAutospacing="1" w:after="100" w:afterAutospacing="1"/>
    </w:pPr>
    <w:rPr>
      <w:rFonts w:ascii="Times New Roman" w:eastAsia="Times New Roman" w:hAnsi="Times New Roman" w:cs="Times New Roman"/>
      <w:sz w:val="24"/>
      <w:szCs w:val="24"/>
      <w:lang w:val="en-US"/>
    </w:rPr>
  </w:style>
  <w:style w:type="paragraph" w:styleId="affa">
    <w:name w:val="No Spacing"/>
    <w:uiPriority w:val="1"/>
    <w:qFormat/>
    <w:rsid w:val="00007385"/>
    <w:pPr>
      <w:spacing w:before="0" w:after="0"/>
    </w:pPr>
  </w:style>
  <w:style w:type="paragraph" w:customStyle="1" w:styleId="CM1">
    <w:name w:val="CM1"/>
    <w:basedOn w:val="Default"/>
    <w:next w:val="Default"/>
    <w:rsid w:val="00007385"/>
    <w:pPr>
      <w:widowControl w:val="0"/>
    </w:pPr>
    <w:rPr>
      <w:rFonts w:ascii="Calibri" w:eastAsia="Times New Roman" w:hAnsi="Calibri"/>
      <w:color w:val="auto"/>
      <w:lang w:val="en-CA" w:eastAsia="en-CA"/>
    </w:rPr>
  </w:style>
  <w:style w:type="paragraph" w:customStyle="1" w:styleId="TableName">
    <w:name w:val="TableName"/>
    <w:basedOn w:val="a2"/>
    <w:qFormat/>
    <w:rsid w:val="00007385"/>
    <w:pPr>
      <w:keepNext/>
      <w:keepLines/>
      <w:spacing w:after="240"/>
      <w:ind w:left="1134" w:hanging="1134"/>
    </w:pPr>
    <w:rPr>
      <w:rFonts w:ascii="Franklin Gothic Medium" w:hAnsi="Franklin Gothic Medium"/>
      <w:sz w:val="22"/>
    </w:rPr>
  </w:style>
  <w:style w:type="paragraph" w:customStyle="1" w:styleId="TableFigNote">
    <w:name w:val="TableFigNote"/>
    <w:basedOn w:val="a2"/>
    <w:qFormat/>
    <w:rsid w:val="00007385"/>
    <w:pPr>
      <w:keepNext/>
      <w:spacing w:after="120"/>
    </w:pPr>
    <w:rPr>
      <w:rFonts w:asciiTheme="minorHAnsi" w:hAnsiTheme="minorHAnsi"/>
    </w:rPr>
  </w:style>
  <w:style w:type="paragraph" w:customStyle="1" w:styleId="TableFigNoteHangingLast">
    <w:name w:val="TableFigNoteHanging Last"/>
    <w:basedOn w:val="a2"/>
    <w:qFormat/>
    <w:rsid w:val="00007385"/>
    <w:pPr>
      <w:keepNext/>
      <w:keepLines/>
      <w:spacing w:after="360"/>
      <w:ind w:left="142" w:hanging="142"/>
    </w:pPr>
    <w:rPr>
      <w:rFonts w:asciiTheme="minorHAnsi" w:hAnsiTheme="minorHAnsi"/>
    </w:rPr>
  </w:style>
  <w:style w:type="table" w:styleId="54">
    <w:name w:val="Plain Table 5"/>
    <w:basedOn w:val="a5"/>
    <w:uiPriority w:val="45"/>
    <w:rsid w:val="00007385"/>
    <w:pPr>
      <w:spacing w:before="0" w:after="0"/>
    </w:pPr>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5">
    <w:name w:val="Grid Table 5 Dark Accent 5"/>
    <w:basedOn w:val="a5"/>
    <w:uiPriority w:val="50"/>
    <w:rsid w:val="00007385"/>
    <w:pPr>
      <w:spacing w:before="0" w:after="0"/>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CA0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CA0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CA0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CA0C" w:themeFill="accent5"/>
      </w:tcPr>
    </w:tblStylePr>
    <w:tblStylePr w:type="band1Vert">
      <w:tblPr/>
      <w:tcPr>
        <w:shd w:val="clear" w:color="auto" w:fill="E8F88F" w:themeFill="accent5" w:themeFillTint="66"/>
      </w:tcPr>
    </w:tblStylePr>
    <w:tblStylePr w:type="band1Horz">
      <w:tblPr/>
      <w:tcPr>
        <w:shd w:val="clear" w:color="auto" w:fill="E8F88F" w:themeFill="accent5" w:themeFillTint="66"/>
      </w:tcPr>
    </w:tblStylePr>
  </w:style>
  <w:style w:type="table" w:styleId="5-1">
    <w:name w:val="Grid Table 5 Dark Accent 1"/>
    <w:basedOn w:val="a5"/>
    <w:uiPriority w:val="50"/>
    <w:rsid w:val="00007385"/>
    <w:pPr>
      <w:spacing w:before="0" w:after="0"/>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A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BE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BE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BE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BEB" w:themeFill="accent1"/>
      </w:tcPr>
    </w:tblStylePr>
    <w:tblStylePr w:type="band1Vert">
      <w:tblPr/>
      <w:tcPr>
        <w:shd w:val="clear" w:color="auto" w:fill="9DB5F8" w:themeFill="accent1" w:themeFillTint="66"/>
      </w:tcPr>
    </w:tblStylePr>
    <w:tblStylePr w:type="band1Horz">
      <w:tblPr/>
      <w:tcPr>
        <w:shd w:val="clear" w:color="auto" w:fill="9DB5F8" w:themeFill="accent1" w:themeFillTint="66"/>
      </w:tcPr>
    </w:tblStylePr>
  </w:style>
  <w:style w:type="table" w:styleId="44">
    <w:name w:val="Grid Table 4"/>
    <w:basedOn w:val="a5"/>
    <w:uiPriority w:val="49"/>
    <w:rsid w:val="00007385"/>
    <w:pPr>
      <w:spacing w:before="0" w:after="0"/>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2">
    <w:name w:val="Grid Table 4 Accent 2"/>
    <w:basedOn w:val="a5"/>
    <w:uiPriority w:val="49"/>
    <w:rsid w:val="00007385"/>
    <w:pPr>
      <w:spacing w:before="0" w:after="0"/>
    </w:pPr>
    <w:rPr>
      <w:kern w:val="2"/>
      <w14:ligatures w14:val="standardContextual"/>
    </w:rPr>
    <w:tblPr>
      <w:tblStyleRowBandSize w:val="1"/>
      <w:tblStyleColBandSize w:val="1"/>
      <w:tblBorders>
        <w:top w:val="single" w:sz="4" w:space="0" w:color="FF7A69" w:themeColor="accent2" w:themeTint="99"/>
        <w:left w:val="single" w:sz="4" w:space="0" w:color="FF7A69" w:themeColor="accent2" w:themeTint="99"/>
        <w:bottom w:val="single" w:sz="4" w:space="0" w:color="FF7A69" w:themeColor="accent2" w:themeTint="99"/>
        <w:right w:val="single" w:sz="4" w:space="0" w:color="FF7A69" w:themeColor="accent2" w:themeTint="99"/>
        <w:insideH w:val="single" w:sz="4" w:space="0" w:color="FF7A69" w:themeColor="accent2" w:themeTint="99"/>
        <w:insideV w:val="single" w:sz="4" w:space="0" w:color="FF7A69" w:themeColor="accent2" w:themeTint="99"/>
      </w:tblBorders>
    </w:tblPr>
    <w:tblStylePr w:type="firstRow">
      <w:rPr>
        <w:b/>
        <w:bCs/>
        <w:color w:val="FFFFFF" w:themeColor="background1"/>
      </w:rPr>
      <w:tblPr/>
      <w:tcPr>
        <w:tcBorders>
          <w:top w:val="single" w:sz="4" w:space="0" w:color="FF2305" w:themeColor="accent2"/>
          <w:left w:val="single" w:sz="4" w:space="0" w:color="FF2305" w:themeColor="accent2"/>
          <w:bottom w:val="single" w:sz="4" w:space="0" w:color="FF2305" w:themeColor="accent2"/>
          <w:right w:val="single" w:sz="4" w:space="0" w:color="FF2305" w:themeColor="accent2"/>
          <w:insideH w:val="nil"/>
          <w:insideV w:val="nil"/>
        </w:tcBorders>
        <w:shd w:val="clear" w:color="auto" w:fill="FF2305" w:themeFill="accent2"/>
      </w:tcPr>
    </w:tblStylePr>
    <w:tblStylePr w:type="lastRow">
      <w:rPr>
        <w:b/>
        <w:bCs/>
      </w:rPr>
      <w:tblPr/>
      <w:tcPr>
        <w:tcBorders>
          <w:top w:val="double" w:sz="4" w:space="0" w:color="FF2305" w:themeColor="accent2"/>
        </w:tcBorders>
      </w:tcPr>
    </w:tblStylePr>
    <w:tblStylePr w:type="firstCol">
      <w:rPr>
        <w:b/>
        <w:bCs/>
      </w:rPr>
    </w:tblStylePr>
    <w:tblStylePr w:type="lastCol">
      <w:rPr>
        <w:b/>
        <w:bCs/>
      </w:rPr>
    </w:tblStylePr>
    <w:tblStylePr w:type="band1Vert">
      <w:tblPr/>
      <w:tcPr>
        <w:shd w:val="clear" w:color="auto" w:fill="FFD2CD" w:themeFill="accent2" w:themeFillTint="33"/>
      </w:tcPr>
    </w:tblStylePr>
    <w:tblStylePr w:type="band1Horz">
      <w:tblPr/>
      <w:tcPr>
        <w:shd w:val="clear" w:color="auto" w:fill="FFD2CD" w:themeFill="accent2" w:themeFillTint="33"/>
      </w:tcPr>
    </w:tblStylePr>
  </w:style>
  <w:style w:type="table" w:styleId="4-3">
    <w:name w:val="Grid Table 4 Accent 3"/>
    <w:basedOn w:val="a5"/>
    <w:uiPriority w:val="49"/>
    <w:rsid w:val="00007385"/>
    <w:pPr>
      <w:spacing w:before="0" w:after="0"/>
    </w:pPr>
    <w:rPr>
      <w:kern w:val="2"/>
      <w14:ligatures w14:val="standardContextual"/>
    </w:rPr>
    <w:tblPr>
      <w:tblStyleRowBandSize w:val="1"/>
      <w:tblStyleColBandSize w:val="1"/>
      <w:tblBorders>
        <w:top w:val="single" w:sz="4" w:space="0" w:color="91D9ED" w:themeColor="accent3" w:themeTint="99"/>
        <w:left w:val="single" w:sz="4" w:space="0" w:color="91D9ED" w:themeColor="accent3" w:themeTint="99"/>
        <w:bottom w:val="single" w:sz="4" w:space="0" w:color="91D9ED" w:themeColor="accent3" w:themeTint="99"/>
        <w:right w:val="single" w:sz="4" w:space="0" w:color="91D9ED" w:themeColor="accent3" w:themeTint="99"/>
        <w:insideH w:val="single" w:sz="4" w:space="0" w:color="91D9ED" w:themeColor="accent3" w:themeTint="99"/>
        <w:insideV w:val="single" w:sz="4" w:space="0" w:color="91D9ED" w:themeColor="accent3" w:themeTint="99"/>
      </w:tblBorders>
    </w:tblPr>
    <w:tblStylePr w:type="firstRow">
      <w:rPr>
        <w:b/>
        <w:bCs/>
        <w:color w:val="FFFFFF" w:themeColor="background1"/>
      </w:rPr>
      <w:tblPr/>
      <w:tcPr>
        <w:tcBorders>
          <w:top w:val="single" w:sz="4" w:space="0" w:color="49C0E2" w:themeColor="accent3"/>
          <w:left w:val="single" w:sz="4" w:space="0" w:color="49C0E2" w:themeColor="accent3"/>
          <w:bottom w:val="single" w:sz="4" w:space="0" w:color="49C0E2" w:themeColor="accent3"/>
          <w:right w:val="single" w:sz="4" w:space="0" w:color="49C0E2" w:themeColor="accent3"/>
          <w:insideH w:val="nil"/>
          <w:insideV w:val="nil"/>
        </w:tcBorders>
        <w:shd w:val="clear" w:color="auto" w:fill="49C0E2" w:themeFill="accent3"/>
      </w:tcPr>
    </w:tblStylePr>
    <w:tblStylePr w:type="lastRow">
      <w:rPr>
        <w:b/>
        <w:bCs/>
      </w:rPr>
      <w:tblPr/>
      <w:tcPr>
        <w:tcBorders>
          <w:top w:val="double" w:sz="4" w:space="0" w:color="49C0E2" w:themeColor="accent3"/>
        </w:tcBorders>
      </w:tcPr>
    </w:tblStylePr>
    <w:tblStylePr w:type="firstCol">
      <w:rPr>
        <w:b/>
        <w:bCs/>
      </w:rPr>
    </w:tblStylePr>
    <w:tblStylePr w:type="lastCol">
      <w:rPr>
        <w:b/>
        <w:bCs/>
      </w:rPr>
    </w:tblStylePr>
    <w:tblStylePr w:type="band1Vert">
      <w:tblPr/>
      <w:tcPr>
        <w:shd w:val="clear" w:color="auto" w:fill="DAF2F9" w:themeFill="accent3" w:themeFillTint="33"/>
      </w:tcPr>
    </w:tblStylePr>
    <w:tblStylePr w:type="band1Horz">
      <w:tblPr/>
      <w:tcPr>
        <w:shd w:val="clear" w:color="auto" w:fill="DAF2F9" w:themeFill="accent3" w:themeFillTint="33"/>
      </w:tcPr>
    </w:tblStylePr>
  </w:style>
  <w:style w:type="character" w:customStyle="1" w:styleId="Hyperlink1">
    <w:name w:val="Hyperlink1"/>
    <w:basedOn w:val="a4"/>
    <w:uiPriority w:val="99"/>
    <w:rsid w:val="00C829A5"/>
    <w:rPr>
      <w:color w:val="0F4BEB"/>
      <w:u w:val="single"/>
    </w:rPr>
  </w:style>
  <w:style w:type="paragraph" w:styleId="affb">
    <w:name w:val="endnote text"/>
    <w:basedOn w:val="a2"/>
    <w:link w:val="affc"/>
    <w:uiPriority w:val="99"/>
    <w:semiHidden/>
    <w:rsid w:val="00064612"/>
    <w:rPr>
      <w:sz w:val="20"/>
      <w:szCs w:val="20"/>
    </w:rPr>
  </w:style>
  <w:style w:type="character" w:customStyle="1" w:styleId="affc">
    <w:name w:val="文末脚注文字列 (文字)"/>
    <w:basedOn w:val="a4"/>
    <w:link w:val="affb"/>
    <w:uiPriority w:val="99"/>
    <w:semiHidden/>
    <w:rsid w:val="00064612"/>
    <w:rPr>
      <w:rFonts w:ascii="Calibri" w:hAnsi="Calibri"/>
      <w:sz w:val="20"/>
      <w:szCs w:val="20"/>
    </w:rPr>
  </w:style>
  <w:style w:type="character" w:styleId="affd">
    <w:name w:val="endnote reference"/>
    <w:basedOn w:val="a4"/>
    <w:uiPriority w:val="99"/>
    <w:semiHidden/>
    <w:rsid w:val="00064612"/>
    <w:rPr>
      <w:vertAlign w:val="superscript"/>
    </w:rPr>
  </w:style>
  <w:style w:type="character" w:customStyle="1" w:styleId="CommentTextChar1">
    <w:name w:val="Comment Text Char1"/>
    <w:basedOn w:val="a4"/>
    <w:uiPriority w:val="99"/>
    <w:rsid w:val="00550DC5"/>
    <w:rPr>
      <w:sz w:val="20"/>
      <w:szCs w:val="20"/>
    </w:rPr>
  </w:style>
  <w:style w:type="paragraph" w:customStyle="1" w:styleId="CommentText1">
    <w:name w:val="Comment Text1"/>
    <w:basedOn w:val="a2"/>
    <w:next w:val="aff1"/>
    <w:uiPriority w:val="99"/>
    <w:rsid w:val="00097103"/>
    <w:rPr>
      <w:kern w:val="2"/>
      <w:sz w:val="20"/>
      <w:szCs w:val="20"/>
      <w14:ligatures w14:val="standardContextual"/>
    </w:rPr>
  </w:style>
  <w:style w:type="paragraph" w:customStyle="1" w:styleId="Quotetext">
    <w:name w:val="Quote text"/>
    <w:basedOn w:val="a2"/>
    <w:next w:val="a2"/>
    <w:qFormat/>
    <w:rsid w:val="00CC4D39"/>
    <w:pPr>
      <w:spacing w:after="160" w:line="360" w:lineRule="auto"/>
      <w:ind w:left="720"/>
    </w:pPr>
    <w:rPr>
      <w:rFonts w:ascii="Calibri Light" w:hAnsi="Calibri Light"/>
      <w:i/>
      <w:sz w:val="22"/>
    </w:rPr>
  </w:style>
  <w:style w:type="paragraph" w:customStyle="1" w:styleId="Boldbodytext">
    <w:name w:val="Bold body text"/>
    <w:basedOn w:val="a3"/>
    <w:next w:val="a2"/>
    <w:qFormat/>
    <w:rsid w:val="002C6771"/>
    <w:rPr>
      <w:b/>
    </w:rPr>
  </w:style>
  <w:style w:type="paragraph" w:customStyle="1" w:styleId="Bodytextunderline">
    <w:name w:val="Body text underline"/>
    <w:basedOn w:val="a3"/>
    <w:qFormat/>
    <w:rsid w:val="001042F3"/>
    <w:rPr>
      <w:u w:val="single"/>
    </w:rPr>
  </w:style>
  <w:style w:type="paragraph" w:customStyle="1" w:styleId="Box">
    <w:name w:val="Box"/>
    <w:basedOn w:val="a3"/>
    <w:link w:val="BoxChar"/>
    <w:qFormat/>
    <w:rsid w:val="007B07E0"/>
    <w:pPr>
      <w:pBdr>
        <w:top w:val="single" w:sz="4" w:space="1" w:color="auto"/>
        <w:left w:val="single" w:sz="4" w:space="4" w:color="auto"/>
        <w:bottom w:val="single" w:sz="4" w:space="1" w:color="auto"/>
        <w:right w:val="single" w:sz="4" w:space="4" w:color="auto"/>
      </w:pBdr>
      <w:shd w:val="clear" w:color="auto" w:fill="F2F2F2" w:themeFill="background2"/>
    </w:pPr>
  </w:style>
  <w:style w:type="paragraph" w:customStyle="1" w:styleId="Whythismatters">
    <w:name w:val="Why this matters"/>
    <w:basedOn w:val="Box"/>
    <w:link w:val="WhythismattersChar"/>
    <w:qFormat/>
    <w:rsid w:val="009969D9"/>
    <w:pPr>
      <w:shd w:val="clear" w:color="auto" w:fill="B5B5B5" w:themeFill="background2" w:themeFillShade="BF"/>
      <w:jc w:val="center"/>
    </w:pPr>
    <w:rPr>
      <w:b/>
    </w:rPr>
  </w:style>
  <w:style w:type="character" w:customStyle="1" w:styleId="BoxChar">
    <w:name w:val="Box Char"/>
    <w:basedOn w:val="a7"/>
    <w:link w:val="Box"/>
    <w:rsid w:val="007B07E0"/>
    <w:rPr>
      <w:rFonts w:ascii="Calibri Light" w:eastAsia="Times New Roman" w:hAnsi="Calibri Light" w:cs="Times New Roman"/>
      <w:szCs w:val="24"/>
      <w:shd w:val="clear" w:color="auto" w:fill="F2F2F2" w:themeFill="background2"/>
      <w:lang w:eastAsia="en-AU"/>
    </w:rPr>
  </w:style>
  <w:style w:type="character" w:customStyle="1" w:styleId="WhythismattersChar">
    <w:name w:val="Why this matters Char"/>
    <w:basedOn w:val="BoxChar"/>
    <w:link w:val="Whythismatters"/>
    <w:rsid w:val="009969D9"/>
    <w:rPr>
      <w:rFonts w:ascii="Calibri Light" w:eastAsia="Times New Roman" w:hAnsi="Calibri Light" w:cs="Times New Roman"/>
      <w:b/>
      <w:szCs w:val="24"/>
      <w:shd w:val="clear" w:color="auto" w:fill="B5B5B5" w:themeFill="background2" w:themeFillShade="B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1028">
      <w:bodyDiv w:val="1"/>
      <w:marLeft w:val="0"/>
      <w:marRight w:val="0"/>
      <w:marTop w:val="0"/>
      <w:marBottom w:val="0"/>
      <w:divBdr>
        <w:top w:val="none" w:sz="0" w:space="0" w:color="auto"/>
        <w:left w:val="none" w:sz="0" w:space="0" w:color="auto"/>
        <w:bottom w:val="none" w:sz="0" w:space="0" w:color="auto"/>
        <w:right w:val="none" w:sz="0" w:space="0" w:color="auto"/>
      </w:divBdr>
    </w:div>
    <w:div w:id="41054759">
      <w:bodyDiv w:val="1"/>
      <w:marLeft w:val="0"/>
      <w:marRight w:val="0"/>
      <w:marTop w:val="0"/>
      <w:marBottom w:val="0"/>
      <w:divBdr>
        <w:top w:val="none" w:sz="0" w:space="0" w:color="auto"/>
        <w:left w:val="none" w:sz="0" w:space="0" w:color="auto"/>
        <w:bottom w:val="none" w:sz="0" w:space="0" w:color="auto"/>
        <w:right w:val="none" w:sz="0" w:space="0" w:color="auto"/>
      </w:divBdr>
    </w:div>
    <w:div w:id="51929725">
      <w:bodyDiv w:val="1"/>
      <w:marLeft w:val="0"/>
      <w:marRight w:val="0"/>
      <w:marTop w:val="0"/>
      <w:marBottom w:val="0"/>
      <w:divBdr>
        <w:top w:val="none" w:sz="0" w:space="0" w:color="auto"/>
        <w:left w:val="none" w:sz="0" w:space="0" w:color="auto"/>
        <w:bottom w:val="none" w:sz="0" w:space="0" w:color="auto"/>
        <w:right w:val="none" w:sz="0" w:space="0" w:color="auto"/>
      </w:divBdr>
    </w:div>
    <w:div w:id="70547358">
      <w:bodyDiv w:val="1"/>
      <w:marLeft w:val="0"/>
      <w:marRight w:val="0"/>
      <w:marTop w:val="0"/>
      <w:marBottom w:val="0"/>
      <w:divBdr>
        <w:top w:val="none" w:sz="0" w:space="0" w:color="auto"/>
        <w:left w:val="none" w:sz="0" w:space="0" w:color="auto"/>
        <w:bottom w:val="none" w:sz="0" w:space="0" w:color="auto"/>
        <w:right w:val="none" w:sz="0" w:space="0" w:color="auto"/>
      </w:divBdr>
    </w:div>
    <w:div w:id="85468588">
      <w:bodyDiv w:val="1"/>
      <w:marLeft w:val="0"/>
      <w:marRight w:val="0"/>
      <w:marTop w:val="0"/>
      <w:marBottom w:val="0"/>
      <w:divBdr>
        <w:top w:val="none" w:sz="0" w:space="0" w:color="auto"/>
        <w:left w:val="none" w:sz="0" w:space="0" w:color="auto"/>
        <w:bottom w:val="none" w:sz="0" w:space="0" w:color="auto"/>
        <w:right w:val="none" w:sz="0" w:space="0" w:color="auto"/>
      </w:divBdr>
    </w:div>
    <w:div w:id="93136892">
      <w:bodyDiv w:val="1"/>
      <w:marLeft w:val="0"/>
      <w:marRight w:val="0"/>
      <w:marTop w:val="0"/>
      <w:marBottom w:val="0"/>
      <w:divBdr>
        <w:top w:val="none" w:sz="0" w:space="0" w:color="auto"/>
        <w:left w:val="none" w:sz="0" w:space="0" w:color="auto"/>
        <w:bottom w:val="none" w:sz="0" w:space="0" w:color="auto"/>
        <w:right w:val="none" w:sz="0" w:space="0" w:color="auto"/>
      </w:divBdr>
    </w:div>
    <w:div w:id="98989366">
      <w:bodyDiv w:val="1"/>
      <w:marLeft w:val="0"/>
      <w:marRight w:val="0"/>
      <w:marTop w:val="0"/>
      <w:marBottom w:val="0"/>
      <w:divBdr>
        <w:top w:val="none" w:sz="0" w:space="0" w:color="auto"/>
        <w:left w:val="none" w:sz="0" w:space="0" w:color="auto"/>
        <w:bottom w:val="none" w:sz="0" w:space="0" w:color="auto"/>
        <w:right w:val="none" w:sz="0" w:space="0" w:color="auto"/>
      </w:divBdr>
    </w:div>
    <w:div w:id="112332174">
      <w:bodyDiv w:val="1"/>
      <w:marLeft w:val="0"/>
      <w:marRight w:val="0"/>
      <w:marTop w:val="0"/>
      <w:marBottom w:val="0"/>
      <w:divBdr>
        <w:top w:val="none" w:sz="0" w:space="0" w:color="auto"/>
        <w:left w:val="none" w:sz="0" w:space="0" w:color="auto"/>
        <w:bottom w:val="none" w:sz="0" w:space="0" w:color="auto"/>
        <w:right w:val="none" w:sz="0" w:space="0" w:color="auto"/>
      </w:divBdr>
    </w:div>
    <w:div w:id="118648639">
      <w:bodyDiv w:val="1"/>
      <w:marLeft w:val="0"/>
      <w:marRight w:val="0"/>
      <w:marTop w:val="0"/>
      <w:marBottom w:val="0"/>
      <w:divBdr>
        <w:top w:val="none" w:sz="0" w:space="0" w:color="auto"/>
        <w:left w:val="none" w:sz="0" w:space="0" w:color="auto"/>
        <w:bottom w:val="none" w:sz="0" w:space="0" w:color="auto"/>
        <w:right w:val="none" w:sz="0" w:space="0" w:color="auto"/>
      </w:divBdr>
    </w:div>
    <w:div w:id="123040022">
      <w:bodyDiv w:val="1"/>
      <w:marLeft w:val="0"/>
      <w:marRight w:val="0"/>
      <w:marTop w:val="0"/>
      <w:marBottom w:val="0"/>
      <w:divBdr>
        <w:top w:val="none" w:sz="0" w:space="0" w:color="auto"/>
        <w:left w:val="none" w:sz="0" w:space="0" w:color="auto"/>
        <w:bottom w:val="none" w:sz="0" w:space="0" w:color="auto"/>
        <w:right w:val="none" w:sz="0" w:space="0" w:color="auto"/>
      </w:divBdr>
    </w:div>
    <w:div w:id="146635799">
      <w:bodyDiv w:val="1"/>
      <w:marLeft w:val="0"/>
      <w:marRight w:val="0"/>
      <w:marTop w:val="0"/>
      <w:marBottom w:val="0"/>
      <w:divBdr>
        <w:top w:val="none" w:sz="0" w:space="0" w:color="auto"/>
        <w:left w:val="none" w:sz="0" w:space="0" w:color="auto"/>
        <w:bottom w:val="none" w:sz="0" w:space="0" w:color="auto"/>
        <w:right w:val="none" w:sz="0" w:space="0" w:color="auto"/>
      </w:divBdr>
      <w:divsChild>
        <w:div w:id="96606561">
          <w:marLeft w:val="547"/>
          <w:marRight w:val="0"/>
          <w:marTop w:val="40"/>
          <w:marBottom w:val="40"/>
          <w:divBdr>
            <w:top w:val="none" w:sz="0" w:space="0" w:color="auto"/>
            <w:left w:val="none" w:sz="0" w:space="0" w:color="auto"/>
            <w:bottom w:val="none" w:sz="0" w:space="0" w:color="auto"/>
            <w:right w:val="none" w:sz="0" w:space="0" w:color="auto"/>
          </w:divBdr>
        </w:div>
        <w:div w:id="233011576">
          <w:marLeft w:val="547"/>
          <w:marRight w:val="0"/>
          <w:marTop w:val="40"/>
          <w:marBottom w:val="40"/>
          <w:divBdr>
            <w:top w:val="none" w:sz="0" w:space="0" w:color="auto"/>
            <w:left w:val="none" w:sz="0" w:space="0" w:color="auto"/>
            <w:bottom w:val="none" w:sz="0" w:space="0" w:color="auto"/>
            <w:right w:val="none" w:sz="0" w:space="0" w:color="auto"/>
          </w:divBdr>
        </w:div>
        <w:div w:id="328749301">
          <w:marLeft w:val="547"/>
          <w:marRight w:val="0"/>
          <w:marTop w:val="40"/>
          <w:marBottom w:val="40"/>
          <w:divBdr>
            <w:top w:val="none" w:sz="0" w:space="0" w:color="auto"/>
            <w:left w:val="none" w:sz="0" w:space="0" w:color="auto"/>
            <w:bottom w:val="none" w:sz="0" w:space="0" w:color="auto"/>
            <w:right w:val="none" w:sz="0" w:space="0" w:color="auto"/>
          </w:divBdr>
        </w:div>
        <w:div w:id="563679638">
          <w:marLeft w:val="547"/>
          <w:marRight w:val="0"/>
          <w:marTop w:val="40"/>
          <w:marBottom w:val="40"/>
          <w:divBdr>
            <w:top w:val="none" w:sz="0" w:space="0" w:color="auto"/>
            <w:left w:val="none" w:sz="0" w:space="0" w:color="auto"/>
            <w:bottom w:val="none" w:sz="0" w:space="0" w:color="auto"/>
            <w:right w:val="none" w:sz="0" w:space="0" w:color="auto"/>
          </w:divBdr>
        </w:div>
        <w:div w:id="686830770">
          <w:marLeft w:val="547"/>
          <w:marRight w:val="0"/>
          <w:marTop w:val="40"/>
          <w:marBottom w:val="40"/>
          <w:divBdr>
            <w:top w:val="none" w:sz="0" w:space="0" w:color="auto"/>
            <w:left w:val="none" w:sz="0" w:space="0" w:color="auto"/>
            <w:bottom w:val="none" w:sz="0" w:space="0" w:color="auto"/>
            <w:right w:val="none" w:sz="0" w:space="0" w:color="auto"/>
          </w:divBdr>
        </w:div>
        <w:div w:id="911088040">
          <w:marLeft w:val="547"/>
          <w:marRight w:val="0"/>
          <w:marTop w:val="40"/>
          <w:marBottom w:val="40"/>
          <w:divBdr>
            <w:top w:val="none" w:sz="0" w:space="0" w:color="auto"/>
            <w:left w:val="none" w:sz="0" w:space="0" w:color="auto"/>
            <w:bottom w:val="none" w:sz="0" w:space="0" w:color="auto"/>
            <w:right w:val="none" w:sz="0" w:space="0" w:color="auto"/>
          </w:divBdr>
        </w:div>
        <w:div w:id="1141000104">
          <w:marLeft w:val="547"/>
          <w:marRight w:val="0"/>
          <w:marTop w:val="40"/>
          <w:marBottom w:val="40"/>
          <w:divBdr>
            <w:top w:val="none" w:sz="0" w:space="0" w:color="auto"/>
            <w:left w:val="none" w:sz="0" w:space="0" w:color="auto"/>
            <w:bottom w:val="none" w:sz="0" w:space="0" w:color="auto"/>
            <w:right w:val="none" w:sz="0" w:space="0" w:color="auto"/>
          </w:divBdr>
        </w:div>
        <w:div w:id="1200704503">
          <w:marLeft w:val="547"/>
          <w:marRight w:val="0"/>
          <w:marTop w:val="40"/>
          <w:marBottom w:val="40"/>
          <w:divBdr>
            <w:top w:val="none" w:sz="0" w:space="0" w:color="auto"/>
            <w:left w:val="none" w:sz="0" w:space="0" w:color="auto"/>
            <w:bottom w:val="none" w:sz="0" w:space="0" w:color="auto"/>
            <w:right w:val="none" w:sz="0" w:space="0" w:color="auto"/>
          </w:divBdr>
        </w:div>
        <w:div w:id="1281575149">
          <w:marLeft w:val="547"/>
          <w:marRight w:val="0"/>
          <w:marTop w:val="40"/>
          <w:marBottom w:val="40"/>
          <w:divBdr>
            <w:top w:val="none" w:sz="0" w:space="0" w:color="auto"/>
            <w:left w:val="none" w:sz="0" w:space="0" w:color="auto"/>
            <w:bottom w:val="none" w:sz="0" w:space="0" w:color="auto"/>
            <w:right w:val="none" w:sz="0" w:space="0" w:color="auto"/>
          </w:divBdr>
        </w:div>
        <w:div w:id="1395932882">
          <w:marLeft w:val="547"/>
          <w:marRight w:val="0"/>
          <w:marTop w:val="40"/>
          <w:marBottom w:val="40"/>
          <w:divBdr>
            <w:top w:val="none" w:sz="0" w:space="0" w:color="auto"/>
            <w:left w:val="none" w:sz="0" w:space="0" w:color="auto"/>
            <w:bottom w:val="none" w:sz="0" w:space="0" w:color="auto"/>
            <w:right w:val="none" w:sz="0" w:space="0" w:color="auto"/>
          </w:divBdr>
        </w:div>
        <w:div w:id="1538203300">
          <w:marLeft w:val="547"/>
          <w:marRight w:val="0"/>
          <w:marTop w:val="40"/>
          <w:marBottom w:val="40"/>
          <w:divBdr>
            <w:top w:val="none" w:sz="0" w:space="0" w:color="auto"/>
            <w:left w:val="none" w:sz="0" w:space="0" w:color="auto"/>
            <w:bottom w:val="none" w:sz="0" w:space="0" w:color="auto"/>
            <w:right w:val="none" w:sz="0" w:space="0" w:color="auto"/>
          </w:divBdr>
        </w:div>
        <w:div w:id="1579554919">
          <w:marLeft w:val="547"/>
          <w:marRight w:val="0"/>
          <w:marTop w:val="40"/>
          <w:marBottom w:val="40"/>
          <w:divBdr>
            <w:top w:val="none" w:sz="0" w:space="0" w:color="auto"/>
            <w:left w:val="none" w:sz="0" w:space="0" w:color="auto"/>
            <w:bottom w:val="none" w:sz="0" w:space="0" w:color="auto"/>
            <w:right w:val="none" w:sz="0" w:space="0" w:color="auto"/>
          </w:divBdr>
        </w:div>
        <w:div w:id="1598364313">
          <w:marLeft w:val="547"/>
          <w:marRight w:val="0"/>
          <w:marTop w:val="40"/>
          <w:marBottom w:val="40"/>
          <w:divBdr>
            <w:top w:val="none" w:sz="0" w:space="0" w:color="auto"/>
            <w:left w:val="none" w:sz="0" w:space="0" w:color="auto"/>
            <w:bottom w:val="none" w:sz="0" w:space="0" w:color="auto"/>
            <w:right w:val="none" w:sz="0" w:space="0" w:color="auto"/>
          </w:divBdr>
        </w:div>
        <w:div w:id="2074312023">
          <w:marLeft w:val="547"/>
          <w:marRight w:val="0"/>
          <w:marTop w:val="40"/>
          <w:marBottom w:val="40"/>
          <w:divBdr>
            <w:top w:val="none" w:sz="0" w:space="0" w:color="auto"/>
            <w:left w:val="none" w:sz="0" w:space="0" w:color="auto"/>
            <w:bottom w:val="none" w:sz="0" w:space="0" w:color="auto"/>
            <w:right w:val="none" w:sz="0" w:space="0" w:color="auto"/>
          </w:divBdr>
        </w:div>
        <w:div w:id="2103838310">
          <w:marLeft w:val="547"/>
          <w:marRight w:val="0"/>
          <w:marTop w:val="40"/>
          <w:marBottom w:val="40"/>
          <w:divBdr>
            <w:top w:val="none" w:sz="0" w:space="0" w:color="auto"/>
            <w:left w:val="none" w:sz="0" w:space="0" w:color="auto"/>
            <w:bottom w:val="none" w:sz="0" w:space="0" w:color="auto"/>
            <w:right w:val="none" w:sz="0" w:space="0" w:color="auto"/>
          </w:divBdr>
        </w:div>
      </w:divsChild>
    </w:div>
    <w:div w:id="153567811">
      <w:bodyDiv w:val="1"/>
      <w:marLeft w:val="0"/>
      <w:marRight w:val="0"/>
      <w:marTop w:val="0"/>
      <w:marBottom w:val="0"/>
      <w:divBdr>
        <w:top w:val="none" w:sz="0" w:space="0" w:color="auto"/>
        <w:left w:val="none" w:sz="0" w:space="0" w:color="auto"/>
        <w:bottom w:val="none" w:sz="0" w:space="0" w:color="auto"/>
        <w:right w:val="none" w:sz="0" w:space="0" w:color="auto"/>
      </w:divBdr>
    </w:div>
    <w:div w:id="168326170">
      <w:bodyDiv w:val="1"/>
      <w:marLeft w:val="0"/>
      <w:marRight w:val="0"/>
      <w:marTop w:val="0"/>
      <w:marBottom w:val="0"/>
      <w:divBdr>
        <w:top w:val="none" w:sz="0" w:space="0" w:color="auto"/>
        <w:left w:val="none" w:sz="0" w:space="0" w:color="auto"/>
        <w:bottom w:val="none" w:sz="0" w:space="0" w:color="auto"/>
        <w:right w:val="none" w:sz="0" w:space="0" w:color="auto"/>
      </w:divBdr>
    </w:div>
    <w:div w:id="174655249">
      <w:bodyDiv w:val="1"/>
      <w:marLeft w:val="0"/>
      <w:marRight w:val="0"/>
      <w:marTop w:val="0"/>
      <w:marBottom w:val="0"/>
      <w:divBdr>
        <w:top w:val="none" w:sz="0" w:space="0" w:color="auto"/>
        <w:left w:val="none" w:sz="0" w:space="0" w:color="auto"/>
        <w:bottom w:val="none" w:sz="0" w:space="0" w:color="auto"/>
        <w:right w:val="none" w:sz="0" w:space="0" w:color="auto"/>
      </w:divBdr>
    </w:div>
    <w:div w:id="176434112">
      <w:bodyDiv w:val="1"/>
      <w:marLeft w:val="0"/>
      <w:marRight w:val="0"/>
      <w:marTop w:val="0"/>
      <w:marBottom w:val="0"/>
      <w:divBdr>
        <w:top w:val="none" w:sz="0" w:space="0" w:color="auto"/>
        <w:left w:val="none" w:sz="0" w:space="0" w:color="auto"/>
        <w:bottom w:val="none" w:sz="0" w:space="0" w:color="auto"/>
        <w:right w:val="none" w:sz="0" w:space="0" w:color="auto"/>
      </w:divBdr>
    </w:div>
    <w:div w:id="177743864">
      <w:bodyDiv w:val="1"/>
      <w:marLeft w:val="0"/>
      <w:marRight w:val="0"/>
      <w:marTop w:val="0"/>
      <w:marBottom w:val="0"/>
      <w:divBdr>
        <w:top w:val="none" w:sz="0" w:space="0" w:color="auto"/>
        <w:left w:val="none" w:sz="0" w:space="0" w:color="auto"/>
        <w:bottom w:val="none" w:sz="0" w:space="0" w:color="auto"/>
        <w:right w:val="none" w:sz="0" w:space="0" w:color="auto"/>
      </w:divBdr>
    </w:div>
    <w:div w:id="180124234">
      <w:bodyDiv w:val="1"/>
      <w:marLeft w:val="0"/>
      <w:marRight w:val="0"/>
      <w:marTop w:val="0"/>
      <w:marBottom w:val="0"/>
      <w:divBdr>
        <w:top w:val="none" w:sz="0" w:space="0" w:color="auto"/>
        <w:left w:val="none" w:sz="0" w:space="0" w:color="auto"/>
        <w:bottom w:val="none" w:sz="0" w:space="0" w:color="auto"/>
        <w:right w:val="none" w:sz="0" w:space="0" w:color="auto"/>
      </w:divBdr>
    </w:div>
    <w:div w:id="205606006">
      <w:bodyDiv w:val="1"/>
      <w:marLeft w:val="0"/>
      <w:marRight w:val="0"/>
      <w:marTop w:val="0"/>
      <w:marBottom w:val="0"/>
      <w:divBdr>
        <w:top w:val="none" w:sz="0" w:space="0" w:color="auto"/>
        <w:left w:val="none" w:sz="0" w:space="0" w:color="auto"/>
        <w:bottom w:val="none" w:sz="0" w:space="0" w:color="auto"/>
        <w:right w:val="none" w:sz="0" w:space="0" w:color="auto"/>
      </w:divBdr>
    </w:div>
    <w:div w:id="224268495">
      <w:bodyDiv w:val="1"/>
      <w:marLeft w:val="0"/>
      <w:marRight w:val="0"/>
      <w:marTop w:val="0"/>
      <w:marBottom w:val="0"/>
      <w:divBdr>
        <w:top w:val="none" w:sz="0" w:space="0" w:color="auto"/>
        <w:left w:val="none" w:sz="0" w:space="0" w:color="auto"/>
        <w:bottom w:val="none" w:sz="0" w:space="0" w:color="auto"/>
        <w:right w:val="none" w:sz="0" w:space="0" w:color="auto"/>
      </w:divBdr>
    </w:div>
    <w:div w:id="235437216">
      <w:bodyDiv w:val="1"/>
      <w:marLeft w:val="0"/>
      <w:marRight w:val="0"/>
      <w:marTop w:val="0"/>
      <w:marBottom w:val="0"/>
      <w:divBdr>
        <w:top w:val="none" w:sz="0" w:space="0" w:color="auto"/>
        <w:left w:val="none" w:sz="0" w:space="0" w:color="auto"/>
        <w:bottom w:val="none" w:sz="0" w:space="0" w:color="auto"/>
        <w:right w:val="none" w:sz="0" w:space="0" w:color="auto"/>
      </w:divBdr>
    </w:div>
    <w:div w:id="244384679">
      <w:bodyDiv w:val="1"/>
      <w:marLeft w:val="0"/>
      <w:marRight w:val="0"/>
      <w:marTop w:val="0"/>
      <w:marBottom w:val="0"/>
      <w:divBdr>
        <w:top w:val="none" w:sz="0" w:space="0" w:color="auto"/>
        <w:left w:val="none" w:sz="0" w:space="0" w:color="auto"/>
        <w:bottom w:val="none" w:sz="0" w:space="0" w:color="auto"/>
        <w:right w:val="none" w:sz="0" w:space="0" w:color="auto"/>
      </w:divBdr>
      <w:divsChild>
        <w:div w:id="1395349423">
          <w:marLeft w:val="1886"/>
          <w:marRight w:val="0"/>
          <w:marTop w:val="100"/>
          <w:marBottom w:val="0"/>
          <w:divBdr>
            <w:top w:val="none" w:sz="0" w:space="0" w:color="auto"/>
            <w:left w:val="none" w:sz="0" w:space="0" w:color="auto"/>
            <w:bottom w:val="none" w:sz="0" w:space="0" w:color="auto"/>
            <w:right w:val="none" w:sz="0" w:space="0" w:color="auto"/>
          </w:divBdr>
        </w:div>
        <w:div w:id="1450512292">
          <w:marLeft w:val="1886"/>
          <w:marRight w:val="0"/>
          <w:marTop w:val="100"/>
          <w:marBottom w:val="0"/>
          <w:divBdr>
            <w:top w:val="none" w:sz="0" w:space="0" w:color="auto"/>
            <w:left w:val="none" w:sz="0" w:space="0" w:color="auto"/>
            <w:bottom w:val="none" w:sz="0" w:space="0" w:color="auto"/>
            <w:right w:val="none" w:sz="0" w:space="0" w:color="auto"/>
          </w:divBdr>
        </w:div>
        <w:div w:id="1771196399">
          <w:marLeft w:val="1886"/>
          <w:marRight w:val="0"/>
          <w:marTop w:val="100"/>
          <w:marBottom w:val="0"/>
          <w:divBdr>
            <w:top w:val="none" w:sz="0" w:space="0" w:color="auto"/>
            <w:left w:val="none" w:sz="0" w:space="0" w:color="auto"/>
            <w:bottom w:val="none" w:sz="0" w:space="0" w:color="auto"/>
            <w:right w:val="none" w:sz="0" w:space="0" w:color="auto"/>
          </w:divBdr>
        </w:div>
        <w:div w:id="2145730438">
          <w:marLeft w:val="1886"/>
          <w:marRight w:val="0"/>
          <w:marTop w:val="100"/>
          <w:marBottom w:val="0"/>
          <w:divBdr>
            <w:top w:val="none" w:sz="0" w:space="0" w:color="auto"/>
            <w:left w:val="none" w:sz="0" w:space="0" w:color="auto"/>
            <w:bottom w:val="none" w:sz="0" w:space="0" w:color="auto"/>
            <w:right w:val="none" w:sz="0" w:space="0" w:color="auto"/>
          </w:divBdr>
        </w:div>
      </w:divsChild>
    </w:div>
    <w:div w:id="265042923">
      <w:bodyDiv w:val="1"/>
      <w:marLeft w:val="0"/>
      <w:marRight w:val="0"/>
      <w:marTop w:val="0"/>
      <w:marBottom w:val="0"/>
      <w:divBdr>
        <w:top w:val="none" w:sz="0" w:space="0" w:color="auto"/>
        <w:left w:val="none" w:sz="0" w:space="0" w:color="auto"/>
        <w:bottom w:val="none" w:sz="0" w:space="0" w:color="auto"/>
        <w:right w:val="none" w:sz="0" w:space="0" w:color="auto"/>
      </w:divBdr>
    </w:div>
    <w:div w:id="280496175">
      <w:bodyDiv w:val="1"/>
      <w:marLeft w:val="0"/>
      <w:marRight w:val="0"/>
      <w:marTop w:val="0"/>
      <w:marBottom w:val="0"/>
      <w:divBdr>
        <w:top w:val="none" w:sz="0" w:space="0" w:color="auto"/>
        <w:left w:val="none" w:sz="0" w:space="0" w:color="auto"/>
        <w:bottom w:val="none" w:sz="0" w:space="0" w:color="auto"/>
        <w:right w:val="none" w:sz="0" w:space="0" w:color="auto"/>
      </w:divBdr>
    </w:div>
    <w:div w:id="293684614">
      <w:bodyDiv w:val="1"/>
      <w:marLeft w:val="0"/>
      <w:marRight w:val="0"/>
      <w:marTop w:val="0"/>
      <w:marBottom w:val="0"/>
      <w:divBdr>
        <w:top w:val="none" w:sz="0" w:space="0" w:color="auto"/>
        <w:left w:val="none" w:sz="0" w:space="0" w:color="auto"/>
        <w:bottom w:val="none" w:sz="0" w:space="0" w:color="auto"/>
        <w:right w:val="none" w:sz="0" w:space="0" w:color="auto"/>
      </w:divBdr>
    </w:div>
    <w:div w:id="329328864">
      <w:bodyDiv w:val="1"/>
      <w:marLeft w:val="0"/>
      <w:marRight w:val="0"/>
      <w:marTop w:val="0"/>
      <w:marBottom w:val="0"/>
      <w:divBdr>
        <w:top w:val="none" w:sz="0" w:space="0" w:color="auto"/>
        <w:left w:val="none" w:sz="0" w:space="0" w:color="auto"/>
        <w:bottom w:val="none" w:sz="0" w:space="0" w:color="auto"/>
        <w:right w:val="none" w:sz="0" w:space="0" w:color="auto"/>
      </w:divBdr>
    </w:div>
    <w:div w:id="364141901">
      <w:bodyDiv w:val="1"/>
      <w:marLeft w:val="0"/>
      <w:marRight w:val="0"/>
      <w:marTop w:val="0"/>
      <w:marBottom w:val="0"/>
      <w:divBdr>
        <w:top w:val="none" w:sz="0" w:space="0" w:color="auto"/>
        <w:left w:val="none" w:sz="0" w:space="0" w:color="auto"/>
        <w:bottom w:val="none" w:sz="0" w:space="0" w:color="auto"/>
        <w:right w:val="none" w:sz="0" w:space="0" w:color="auto"/>
      </w:divBdr>
    </w:div>
    <w:div w:id="397751308">
      <w:bodyDiv w:val="1"/>
      <w:marLeft w:val="0"/>
      <w:marRight w:val="0"/>
      <w:marTop w:val="0"/>
      <w:marBottom w:val="0"/>
      <w:divBdr>
        <w:top w:val="none" w:sz="0" w:space="0" w:color="auto"/>
        <w:left w:val="none" w:sz="0" w:space="0" w:color="auto"/>
        <w:bottom w:val="none" w:sz="0" w:space="0" w:color="auto"/>
        <w:right w:val="none" w:sz="0" w:space="0" w:color="auto"/>
      </w:divBdr>
    </w:div>
    <w:div w:id="409692131">
      <w:bodyDiv w:val="1"/>
      <w:marLeft w:val="0"/>
      <w:marRight w:val="0"/>
      <w:marTop w:val="0"/>
      <w:marBottom w:val="0"/>
      <w:divBdr>
        <w:top w:val="none" w:sz="0" w:space="0" w:color="auto"/>
        <w:left w:val="none" w:sz="0" w:space="0" w:color="auto"/>
        <w:bottom w:val="none" w:sz="0" w:space="0" w:color="auto"/>
        <w:right w:val="none" w:sz="0" w:space="0" w:color="auto"/>
      </w:divBdr>
    </w:div>
    <w:div w:id="427313086">
      <w:bodyDiv w:val="1"/>
      <w:marLeft w:val="0"/>
      <w:marRight w:val="0"/>
      <w:marTop w:val="0"/>
      <w:marBottom w:val="0"/>
      <w:divBdr>
        <w:top w:val="none" w:sz="0" w:space="0" w:color="auto"/>
        <w:left w:val="none" w:sz="0" w:space="0" w:color="auto"/>
        <w:bottom w:val="none" w:sz="0" w:space="0" w:color="auto"/>
        <w:right w:val="none" w:sz="0" w:space="0" w:color="auto"/>
      </w:divBdr>
    </w:div>
    <w:div w:id="437219436">
      <w:bodyDiv w:val="1"/>
      <w:marLeft w:val="0"/>
      <w:marRight w:val="0"/>
      <w:marTop w:val="0"/>
      <w:marBottom w:val="0"/>
      <w:divBdr>
        <w:top w:val="none" w:sz="0" w:space="0" w:color="auto"/>
        <w:left w:val="none" w:sz="0" w:space="0" w:color="auto"/>
        <w:bottom w:val="none" w:sz="0" w:space="0" w:color="auto"/>
        <w:right w:val="none" w:sz="0" w:space="0" w:color="auto"/>
      </w:divBdr>
    </w:div>
    <w:div w:id="455217347">
      <w:bodyDiv w:val="1"/>
      <w:marLeft w:val="0"/>
      <w:marRight w:val="0"/>
      <w:marTop w:val="0"/>
      <w:marBottom w:val="0"/>
      <w:divBdr>
        <w:top w:val="none" w:sz="0" w:space="0" w:color="auto"/>
        <w:left w:val="none" w:sz="0" w:space="0" w:color="auto"/>
        <w:bottom w:val="none" w:sz="0" w:space="0" w:color="auto"/>
        <w:right w:val="none" w:sz="0" w:space="0" w:color="auto"/>
      </w:divBdr>
    </w:div>
    <w:div w:id="481045114">
      <w:bodyDiv w:val="1"/>
      <w:marLeft w:val="0"/>
      <w:marRight w:val="0"/>
      <w:marTop w:val="0"/>
      <w:marBottom w:val="0"/>
      <w:divBdr>
        <w:top w:val="none" w:sz="0" w:space="0" w:color="auto"/>
        <w:left w:val="none" w:sz="0" w:space="0" w:color="auto"/>
        <w:bottom w:val="none" w:sz="0" w:space="0" w:color="auto"/>
        <w:right w:val="none" w:sz="0" w:space="0" w:color="auto"/>
      </w:divBdr>
    </w:div>
    <w:div w:id="484971928">
      <w:bodyDiv w:val="1"/>
      <w:marLeft w:val="0"/>
      <w:marRight w:val="0"/>
      <w:marTop w:val="0"/>
      <w:marBottom w:val="0"/>
      <w:divBdr>
        <w:top w:val="none" w:sz="0" w:space="0" w:color="auto"/>
        <w:left w:val="none" w:sz="0" w:space="0" w:color="auto"/>
        <w:bottom w:val="none" w:sz="0" w:space="0" w:color="auto"/>
        <w:right w:val="none" w:sz="0" w:space="0" w:color="auto"/>
      </w:divBdr>
    </w:div>
    <w:div w:id="489516835">
      <w:bodyDiv w:val="1"/>
      <w:marLeft w:val="0"/>
      <w:marRight w:val="0"/>
      <w:marTop w:val="0"/>
      <w:marBottom w:val="0"/>
      <w:divBdr>
        <w:top w:val="none" w:sz="0" w:space="0" w:color="auto"/>
        <w:left w:val="none" w:sz="0" w:space="0" w:color="auto"/>
        <w:bottom w:val="none" w:sz="0" w:space="0" w:color="auto"/>
        <w:right w:val="none" w:sz="0" w:space="0" w:color="auto"/>
      </w:divBdr>
    </w:div>
    <w:div w:id="491725323">
      <w:bodyDiv w:val="1"/>
      <w:marLeft w:val="0"/>
      <w:marRight w:val="0"/>
      <w:marTop w:val="0"/>
      <w:marBottom w:val="0"/>
      <w:divBdr>
        <w:top w:val="none" w:sz="0" w:space="0" w:color="auto"/>
        <w:left w:val="none" w:sz="0" w:space="0" w:color="auto"/>
        <w:bottom w:val="none" w:sz="0" w:space="0" w:color="auto"/>
        <w:right w:val="none" w:sz="0" w:space="0" w:color="auto"/>
      </w:divBdr>
    </w:div>
    <w:div w:id="494760643">
      <w:bodyDiv w:val="1"/>
      <w:marLeft w:val="0"/>
      <w:marRight w:val="0"/>
      <w:marTop w:val="0"/>
      <w:marBottom w:val="0"/>
      <w:divBdr>
        <w:top w:val="none" w:sz="0" w:space="0" w:color="auto"/>
        <w:left w:val="none" w:sz="0" w:space="0" w:color="auto"/>
        <w:bottom w:val="none" w:sz="0" w:space="0" w:color="auto"/>
        <w:right w:val="none" w:sz="0" w:space="0" w:color="auto"/>
      </w:divBdr>
    </w:div>
    <w:div w:id="496923605">
      <w:bodyDiv w:val="1"/>
      <w:marLeft w:val="0"/>
      <w:marRight w:val="0"/>
      <w:marTop w:val="0"/>
      <w:marBottom w:val="0"/>
      <w:divBdr>
        <w:top w:val="none" w:sz="0" w:space="0" w:color="auto"/>
        <w:left w:val="none" w:sz="0" w:space="0" w:color="auto"/>
        <w:bottom w:val="none" w:sz="0" w:space="0" w:color="auto"/>
        <w:right w:val="none" w:sz="0" w:space="0" w:color="auto"/>
      </w:divBdr>
    </w:div>
    <w:div w:id="504784427">
      <w:bodyDiv w:val="1"/>
      <w:marLeft w:val="0"/>
      <w:marRight w:val="0"/>
      <w:marTop w:val="0"/>
      <w:marBottom w:val="0"/>
      <w:divBdr>
        <w:top w:val="none" w:sz="0" w:space="0" w:color="auto"/>
        <w:left w:val="none" w:sz="0" w:space="0" w:color="auto"/>
        <w:bottom w:val="none" w:sz="0" w:space="0" w:color="auto"/>
        <w:right w:val="none" w:sz="0" w:space="0" w:color="auto"/>
      </w:divBdr>
    </w:div>
    <w:div w:id="509760687">
      <w:bodyDiv w:val="1"/>
      <w:marLeft w:val="0"/>
      <w:marRight w:val="0"/>
      <w:marTop w:val="0"/>
      <w:marBottom w:val="0"/>
      <w:divBdr>
        <w:top w:val="none" w:sz="0" w:space="0" w:color="auto"/>
        <w:left w:val="none" w:sz="0" w:space="0" w:color="auto"/>
        <w:bottom w:val="none" w:sz="0" w:space="0" w:color="auto"/>
        <w:right w:val="none" w:sz="0" w:space="0" w:color="auto"/>
      </w:divBdr>
    </w:div>
    <w:div w:id="526875036">
      <w:bodyDiv w:val="1"/>
      <w:marLeft w:val="0"/>
      <w:marRight w:val="0"/>
      <w:marTop w:val="0"/>
      <w:marBottom w:val="0"/>
      <w:divBdr>
        <w:top w:val="none" w:sz="0" w:space="0" w:color="auto"/>
        <w:left w:val="none" w:sz="0" w:space="0" w:color="auto"/>
        <w:bottom w:val="none" w:sz="0" w:space="0" w:color="auto"/>
        <w:right w:val="none" w:sz="0" w:space="0" w:color="auto"/>
      </w:divBdr>
      <w:divsChild>
        <w:div w:id="626619257">
          <w:marLeft w:val="0"/>
          <w:marRight w:val="0"/>
          <w:marTop w:val="0"/>
          <w:marBottom w:val="0"/>
          <w:divBdr>
            <w:top w:val="none" w:sz="0" w:space="0" w:color="auto"/>
            <w:left w:val="none" w:sz="0" w:space="0" w:color="auto"/>
            <w:bottom w:val="none" w:sz="0" w:space="0" w:color="auto"/>
            <w:right w:val="none" w:sz="0" w:space="0" w:color="auto"/>
          </w:divBdr>
        </w:div>
      </w:divsChild>
    </w:div>
    <w:div w:id="547499915">
      <w:bodyDiv w:val="1"/>
      <w:marLeft w:val="0"/>
      <w:marRight w:val="0"/>
      <w:marTop w:val="0"/>
      <w:marBottom w:val="0"/>
      <w:divBdr>
        <w:top w:val="none" w:sz="0" w:space="0" w:color="auto"/>
        <w:left w:val="none" w:sz="0" w:space="0" w:color="auto"/>
        <w:bottom w:val="none" w:sz="0" w:space="0" w:color="auto"/>
        <w:right w:val="none" w:sz="0" w:space="0" w:color="auto"/>
      </w:divBdr>
    </w:div>
    <w:div w:id="548761276">
      <w:bodyDiv w:val="1"/>
      <w:marLeft w:val="0"/>
      <w:marRight w:val="0"/>
      <w:marTop w:val="0"/>
      <w:marBottom w:val="0"/>
      <w:divBdr>
        <w:top w:val="none" w:sz="0" w:space="0" w:color="auto"/>
        <w:left w:val="none" w:sz="0" w:space="0" w:color="auto"/>
        <w:bottom w:val="none" w:sz="0" w:space="0" w:color="auto"/>
        <w:right w:val="none" w:sz="0" w:space="0" w:color="auto"/>
      </w:divBdr>
      <w:divsChild>
        <w:div w:id="1203980005">
          <w:marLeft w:val="0"/>
          <w:marRight w:val="0"/>
          <w:marTop w:val="0"/>
          <w:marBottom w:val="0"/>
          <w:divBdr>
            <w:top w:val="none" w:sz="0" w:space="0" w:color="auto"/>
            <w:left w:val="none" w:sz="0" w:space="0" w:color="auto"/>
            <w:bottom w:val="none" w:sz="0" w:space="0" w:color="auto"/>
            <w:right w:val="none" w:sz="0" w:space="0" w:color="auto"/>
          </w:divBdr>
        </w:div>
        <w:div w:id="1774396049">
          <w:marLeft w:val="0"/>
          <w:marRight w:val="0"/>
          <w:marTop w:val="0"/>
          <w:marBottom w:val="0"/>
          <w:divBdr>
            <w:top w:val="none" w:sz="0" w:space="0" w:color="auto"/>
            <w:left w:val="none" w:sz="0" w:space="0" w:color="auto"/>
            <w:bottom w:val="none" w:sz="0" w:space="0" w:color="auto"/>
            <w:right w:val="none" w:sz="0" w:space="0" w:color="auto"/>
          </w:divBdr>
        </w:div>
      </w:divsChild>
    </w:div>
    <w:div w:id="551045324">
      <w:bodyDiv w:val="1"/>
      <w:marLeft w:val="0"/>
      <w:marRight w:val="0"/>
      <w:marTop w:val="0"/>
      <w:marBottom w:val="0"/>
      <w:divBdr>
        <w:top w:val="none" w:sz="0" w:space="0" w:color="auto"/>
        <w:left w:val="none" w:sz="0" w:space="0" w:color="auto"/>
        <w:bottom w:val="none" w:sz="0" w:space="0" w:color="auto"/>
        <w:right w:val="none" w:sz="0" w:space="0" w:color="auto"/>
      </w:divBdr>
    </w:div>
    <w:div w:id="557935598">
      <w:bodyDiv w:val="1"/>
      <w:marLeft w:val="0"/>
      <w:marRight w:val="0"/>
      <w:marTop w:val="0"/>
      <w:marBottom w:val="0"/>
      <w:divBdr>
        <w:top w:val="none" w:sz="0" w:space="0" w:color="auto"/>
        <w:left w:val="none" w:sz="0" w:space="0" w:color="auto"/>
        <w:bottom w:val="none" w:sz="0" w:space="0" w:color="auto"/>
        <w:right w:val="none" w:sz="0" w:space="0" w:color="auto"/>
      </w:divBdr>
    </w:div>
    <w:div w:id="562376307">
      <w:bodyDiv w:val="1"/>
      <w:marLeft w:val="0"/>
      <w:marRight w:val="0"/>
      <w:marTop w:val="0"/>
      <w:marBottom w:val="0"/>
      <w:divBdr>
        <w:top w:val="none" w:sz="0" w:space="0" w:color="auto"/>
        <w:left w:val="none" w:sz="0" w:space="0" w:color="auto"/>
        <w:bottom w:val="none" w:sz="0" w:space="0" w:color="auto"/>
        <w:right w:val="none" w:sz="0" w:space="0" w:color="auto"/>
      </w:divBdr>
    </w:div>
    <w:div w:id="563222087">
      <w:bodyDiv w:val="1"/>
      <w:marLeft w:val="0"/>
      <w:marRight w:val="0"/>
      <w:marTop w:val="0"/>
      <w:marBottom w:val="0"/>
      <w:divBdr>
        <w:top w:val="none" w:sz="0" w:space="0" w:color="auto"/>
        <w:left w:val="none" w:sz="0" w:space="0" w:color="auto"/>
        <w:bottom w:val="none" w:sz="0" w:space="0" w:color="auto"/>
        <w:right w:val="none" w:sz="0" w:space="0" w:color="auto"/>
      </w:divBdr>
    </w:div>
    <w:div w:id="592786162">
      <w:bodyDiv w:val="1"/>
      <w:marLeft w:val="0"/>
      <w:marRight w:val="0"/>
      <w:marTop w:val="0"/>
      <w:marBottom w:val="0"/>
      <w:divBdr>
        <w:top w:val="none" w:sz="0" w:space="0" w:color="auto"/>
        <w:left w:val="none" w:sz="0" w:space="0" w:color="auto"/>
        <w:bottom w:val="none" w:sz="0" w:space="0" w:color="auto"/>
        <w:right w:val="none" w:sz="0" w:space="0" w:color="auto"/>
      </w:divBdr>
    </w:div>
    <w:div w:id="647439879">
      <w:bodyDiv w:val="1"/>
      <w:marLeft w:val="0"/>
      <w:marRight w:val="0"/>
      <w:marTop w:val="0"/>
      <w:marBottom w:val="0"/>
      <w:divBdr>
        <w:top w:val="none" w:sz="0" w:space="0" w:color="auto"/>
        <w:left w:val="none" w:sz="0" w:space="0" w:color="auto"/>
        <w:bottom w:val="none" w:sz="0" w:space="0" w:color="auto"/>
        <w:right w:val="none" w:sz="0" w:space="0" w:color="auto"/>
      </w:divBdr>
    </w:div>
    <w:div w:id="649134870">
      <w:bodyDiv w:val="1"/>
      <w:marLeft w:val="0"/>
      <w:marRight w:val="0"/>
      <w:marTop w:val="0"/>
      <w:marBottom w:val="0"/>
      <w:divBdr>
        <w:top w:val="none" w:sz="0" w:space="0" w:color="auto"/>
        <w:left w:val="none" w:sz="0" w:space="0" w:color="auto"/>
        <w:bottom w:val="none" w:sz="0" w:space="0" w:color="auto"/>
        <w:right w:val="none" w:sz="0" w:space="0" w:color="auto"/>
      </w:divBdr>
      <w:divsChild>
        <w:div w:id="51345285">
          <w:marLeft w:val="547"/>
          <w:marRight w:val="0"/>
          <w:marTop w:val="40"/>
          <w:marBottom w:val="40"/>
          <w:divBdr>
            <w:top w:val="none" w:sz="0" w:space="0" w:color="auto"/>
            <w:left w:val="none" w:sz="0" w:space="0" w:color="auto"/>
            <w:bottom w:val="none" w:sz="0" w:space="0" w:color="auto"/>
            <w:right w:val="none" w:sz="0" w:space="0" w:color="auto"/>
          </w:divBdr>
        </w:div>
        <w:div w:id="51471001">
          <w:marLeft w:val="547"/>
          <w:marRight w:val="0"/>
          <w:marTop w:val="40"/>
          <w:marBottom w:val="40"/>
          <w:divBdr>
            <w:top w:val="none" w:sz="0" w:space="0" w:color="auto"/>
            <w:left w:val="none" w:sz="0" w:space="0" w:color="auto"/>
            <w:bottom w:val="none" w:sz="0" w:space="0" w:color="auto"/>
            <w:right w:val="none" w:sz="0" w:space="0" w:color="auto"/>
          </w:divBdr>
        </w:div>
        <w:div w:id="144976175">
          <w:marLeft w:val="547"/>
          <w:marRight w:val="0"/>
          <w:marTop w:val="40"/>
          <w:marBottom w:val="40"/>
          <w:divBdr>
            <w:top w:val="none" w:sz="0" w:space="0" w:color="auto"/>
            <w:left w:val="none" w:sz="0" w:space="0" w:color="auto"/>
            <w:bottom w:val="none" w:sz="0" w:space="0" w:color="auto"/>
            <w:right w:val="none" w:sz="0" w:space="0" w:color="auto"/>
          </w:divBdr>
        </w:div>
        <w:div w:id="236092120">
          <w:marLeft w:val="547"/>
          <w:marRight w:val="0"/>
          <w:marTop w:val="40"/>
          <w:marBottom w:val="40"/>
          <w:divBdr>
            <w:top w:val="none" w:sz="0" w:space="0" w:color="auto"/>
            <w:left w:val="none" w:sz="0" w:space="0" w:color="auto"/>
            <w:bottom w:val="none" w:sz="0" w:space="0" w:color="auto"/>
            <w:right w:val="none" w:sz="0" w:space="0" w:color="auto"/>
          </w:divBdr>
        </w:div>
        <w:div w:id="284384093">
          <w:marLeft w:val="547"/>
          <w:marRight w:val="0"/>
          <w:marTop w:val="40"/>
          <w:marBottom w:val="40"/>
          <w:divBdr>
            <w:top w:val="none" w:sz="0" w:space="0" w:color="auto"/>
            <w:left w:val="none" w:sz="0" w:space="0" w:color="auto"/>
            <w:bottom w:val="none" w:sz="0" w:space="0" w:color="auto"/>
            <w:right w:val="none" w:sz="0" w:space="0" w:color="auto"/>
          </w:divBdr>
        </w:div>
        <w:div w:id="339046608">
          <w:marLeft w:val="547"/>
          <w:marRight w:val="0"/>
          <w:marTop w:val="40"/>
          <w:marBottom w:val="40"/>
          <w:divBdr>
            <w:top w:val="none" w:sz="0" w:space="0" w:color="auto"/>
            <w:left w:val="none" w:sz="0" w:space="0" w:color="auto"/>
            <w:bottom w:val="none" w:sz="0" w:space="0" w:color="auto"/>
            <w:right w:val="none" w:sz="0" w:space="0" w:color="auto"/>
          </w:divBdr>
        </w:div>
        <w:div w:id="398480961">
          <w:marLeft w:val="547"/>
          <w:marRight w:val="0"/>
          <w:marTop w:val="40"/>
          <w:marBottom w:val="40"/>
          <w:divBdr>
            <w:top w:val="none" w:sz="0" w:space="0" w:color="auto"/>
            <w:left w:val="none" w:sz="0" w:space="0" w:color="auto"/>
            <w:bottom w:val="none" w:sz="0" w:space="0" w:color="auto"/>
            <w:right w:val="none" w:sz="0" w:space="0" w:color="auto"/>
          </w:divBdr>
        </w:div>
        <w:div w:id="888151940">
          <w:marLeft w:val="547"/>
          <w:marRight w:val="0"/>
          <w:marTop w:val="40"/>
          <w:marBottom w:val="40"/>
          <w:divBdr>
            <w:top w:val="none" w:sz="0" w:space="0" w:color="auto"/>
            <w:left w:val="none" w:sz="0" w:space="0" w:color="auto"/>
            <w:bottom w:val="none" w:sz="0" w:space="0" w:color="auto"/>
            <w:right w:val="none" w:sz="0" w:space="0" w:color="auto"/>
          </w:divBdr>
        </w:div>
        <w:div w:id="903299945">
          <w:marLeft w:val="547"/>
          <w:marRight w:val="0"/>
          <w:marTop w:val="40"/>
          <w:marBottom w:val="40"/>
          <w:divBdr>
            <w:top w:val="none" w:sz="0" w:space="0" w:color="auto"/>
            <w:left w:val="none" w:sz="0" w:space="0" w:color="auto"/>
            <w:bottom w:val="none" w:sz="0" w:space="0" w:color="auto"/>
            <w:right w:val="none" w:sz="0" w:space="0" w:color="auto"/>
          </w:divBdr>
        </w:div>
        <w:div w:id="1117992257">
          <w:marLeft w:val="547"/>
          <w:marRight w:val="0"/>
          <w:marTop w:val="40"/>
          <w:marBottom w:val="40"/>
          <w:divBdr>
            <w:top w:val="none" w:sz="0" w:space="0" w:color="auto"/>
            <w:left w:val="none" w:sz="0" w:space="0" w:color="auto"/>
            <w:bottom w:val="none" w:sz="0" w:space="0" w:color="auto"/>
            <w:right w:val="none" w:sz="0" w:space="0" w:color="auto"/>
          </w:divBdr>
        </w:div>
        <w:div w:id="1267543373">
          <w:marLeft w:val="547"/>
          <w:marRight w:val="0"/>
          <w:marTop w:val="40"/>
          <w:marBottom w:val="40"/>
          <w:divBdr>
            <w:top w:val="none" w:sz="0" w:space="0" w:color="auto"/>
            <w:left w:val="none" w:sz="0" w:space="0" w:color="auto"/>
            <w:bottom w:val="none" w:sz="0" w:space="0" w:color="auto"/>
            <w:right w:val="none" w:sz="0" w:space="0" w:color="auto"/>
          </w:divBdr>
        </w:div>
        <w:div w:id="1628926872">
          <w:marLeft w:val="547"/>
          <w:marRight w:val="0"/>
          <w:marTop w:val="40"/>
          <w:marBottom w:val="40"/>
          <w:divBdr>
            <w:top w:val="none" w:sz="0" w:space="0" w:color="auto"/>
            <w:left w:val="none" w:sz="0" w:space="0" w:color="auto"/>
            <w:bottom w:val="none" w:sz="0" w:space="0" w:color="auto"/>
            <w:right w:val="none" w:sz="0" w:space="0" w:color="auto"/>
          </w:divBdr>
        </w:div>
        <w:div w:id="1654531562">
          <w:marLeft w:val="547"/>
          <w:marRight w:val="0"/>
          <w:marTop w:val="40"/>
          <w:marBottom w:val="40"/>
          <w:divBdr>
            <w:top w:val="none" w:sz="0" w:space="0" w:color="auto"/>
            <w:left w:val="none" w:sz="0" w:space="0" w:color="auto"/>
            <w:bottom w:val="none" w:sz="0" w:space="0" w:color="auto"/>
            <w:right w:val="none" w:sz="0" w:space="0" w:color="auto"/>
          </w:divBdr>
        </w:div>
        <w:div w:id="1765491516">
          <w:marLeft w:val="547"/>
          <w:marRight w:val="0"/>
          <w:marTop w:val="40"/>
          <w:marBottom w:val="40"/>
          <w:divBdr>
            <w:top w:val="none" w:sz="0" w:space="0" w:color="auto"/>
            <w:left w:val="none" w:sz="0" w:space="0" w:color="auto"/>
            <w:bottom w:val="none" w:sz="0" w:space="0" w:color="auto"/>
            <w:right w:val="none" w:sz="0" w:space="0" w:color="auto"/>
          </w:divBdr>
        </w:div>
        <w:div w:id="2003270473">
          <w:marLeft w:val="547"/>
          <w:marRight w:val="0"/>
          <w:marTop w:val="40"/>
          <w:marBottom w:val="40"/>
          <w:divBdr>
            <w:top w:val="none" w:sz="0" w:space="0" w:color="auto"/>
            <w:left w:val="none" w:sz="0" w:space="0" w:color="auto"/>
            <w:bottom w:val="none" w:sz="0" w:space="0" w:color="auto"/>
            <w:right w:val="none" w:sz="0" w:space="0" w:color="auto"/>
          </w:divBdr>
        </w:div>
      </w:divsChild>
    </w:div>
    <w:div w:id="669677581">
      <w:bodyDiv w:val="1"/>
      <w:marLeft w:val="0"/>
      <w:marRight w:val="0"/>
      <w:marTop w:val="0"/>
      <w:marBottom w:val="0"/>
      <w:divBdr>
        <w:top w:val="none" w:sz="0" w:space="0" w:color="auto"/>
        <w:left w:val="none" w:sz="0" w:space="0" w:color="auto"/>
        <w:bottom w:val="none" w:sz="0" w:space="0" w:color="auto"/>
        <w:right w:val="none" w:sz="0" w:space="0" w:color="auto"/>
      </w:divBdr>
    </w:div>
    <w:div w:id="681785811">
      <w:bodyDiv w:val="1"/>
      <w:marLeft w:val="0"/>
      <w:marRight w:val="0"/>
      <w:marTop w:val="0"/>
      <w:marBottom w:val="0"/>
      <w:divBdr>
        <w:top w:val="none" w:sz="0" w:space="0" w:color="auto"/>
        <w:left w:val="none" w:sz="0" w:space="0" w:color="auto"/>
        <w:bottom w:val="none" w:sz="0" w:space="0" w:color="auto"/>
        <w:right w:val="none" w:sz="0" w:space="0" w:color="auto"/>
      </w:divBdr>
    </w:div>
    <w:div w:id="695354669">
      <w:bodyDiv w:val="1"/>
      <w:marLeft w:val="0"/>
      <w:marRight w:val="0"/>
      <w:marTop w:val="0"/>
      <w:marBottom w:val="0"/>
      <w:divBdr>
        <w:top w:val="none" w:sz="0" w:space="0" w:color="auto"/>
        <w:left w:val="none" w:sz="0" w:space="0" w:color="auto"/>
        <w:bottom w:val="none" w:sz="0" w:space="0" w:color="auto"/>
        <w:right w:val="none" w:sz="0" w:space="0" w:color="auto"/>
      </w:divBdr>
    </w:div>
    <w:div w:id="722216237">
      <w:bodyDiv w:val="1"/>
      <w:marLeft w:val="0"/>
      <w:marRight w:val="0"/>
      <w:marTop w:val="0"/>
      <w:marBottom w:val="0"/>
      <w:divBdr>
        <w:top w:val="none" w:sz="0" w:space="0" w:color="auto"/>
        <w:left w:val="none" w:sz="0" w:space="0" w:color="auto"/>
        <w:bottom w:val="none" w:sz="0" w:space="0" w:color="auto"/>
        <w:right w:val="none" w:sz="0" w:space="0" w:color="auto"/>
      </w:divBdr>
    </w:div>
    <w:div w:id="737827463">
      <w:bodyDiv w:val="1"/>
      <w:marLeft w:val="0"/>
      <w:marRight w:val="0"/>
      <w:marTop w:val="0"/>
      <w:marBottom w:val="0"/>
      <w:divBdr>
        <w:top w:val="none" w:sz="0" w:space="0" w:color="auto"/>
        <w:left w:val="none" w:sz="0" w:space="0" w:color="auto"/>
        <w:bottom w:val="none" w:sz="0" w:space="0" w:color="auto"/>
        <w:right w:val="none" w:sz="0" w:space="0" w:color="auto"/>
      </w:divBdr>
      <w:divsChild>
        <w:div w:id="379863527">
          <w:marLeft w:val="1166"/>
          <w:marRight w:val="0"/>
          <w:marTop w:val="100"/>
          <w:marBottom w:val="0"/>
          <w:divBdr>
            <w:top w:val="none" w:sz="0" w:space="0" w:color="auto"/>
            <w:left w:val="none" w:sz="0" w:space="0" w:color="auto"/>
            <w:bottom w:val="none" w:sz="0" w:space="0" w:color="auto"/>
            <w:right w:val="none" w:sz="0" w:space="0" w:color="auto"/>
          </w:divBdr>
        </w:div>
        <w:div w:id="486476960">
          <w:marLeft w:val="446"/>
          <w:marRight w:val="0"/>
          <w:marTop w:val="200"/>
          <w:marBottom w:val="0"/>
          <w:divBdr>
            <w:top w:val="none" w:sz="0" w:space="0" w:color="auto"/>
            <w:left w:val="none" w:sz="0" w:space="0" w:color="auto"/>
            <w:bottom w:val="none" w:sz="0" w:space="0" w:color="auto"/>
            <w:right w:val="none" w:sz="0" w:space="0" w:color="auto"/>
          </w:divBdr>
        </w:div>
        <w:div w:id="638921262">
          <w:marLeft w:val="1166"/>
          <w:marRight w:val="0"/>
          <w:marTop w:val="100"/>
          <w:marBottom w:val="0"/>
          <w:divBdr>
            <w:top w:val="none" w:sz="0" w:space="0" w:color="auto"/>
            <w:left w:val="none" w:sz="0" w:space="0" w:color="auto"/>
            <w:bottom w:val="none" w:sz="0" w:space="0" w:color="auto"/>
            <w:right w:val="none" w:sz="0" w:space="0" w:color="auto"/>
          </w:divBdr>
        </w:div>
        <w:div w:id="1053575889">
          <w:marLeft w:val="1166"/>
          <w:marRight w:val="0"/>
          <w:marTop w:val="100"/>
          <w:marBottom w:val="0"/>
          <w:divBdr>
            <w:top w:val="none" w:sz="0" w:space="0" w:color="auto"/>
            <w:left w:val="none" w:sz="0" w:space="0" w:color="auto"/>
            <w:bottom w:val="none" w:sz="0" w:space="0" w:color="auto"/>
            <w:right w:val="none" w:sz="0" w:space="0" w:color="auto"/>
          </w:divBdr>
        </w:div>
      </w:divsChild>
    </w:div>
    <w:div w:id="761950150">
      <w:bodyDiv w:val="1"/>
      <w:marLeft w:val="0"/>
      <w:marRight w:val="0"/>
      <w:marTop w:val="0"/>
      <w:marBottom w:val="0"/>
      <w:divBdr>
        <w:top w:val="none" w:sz="0" w:space="0" w:color="auto"/>
        <w:left w:val="none" w:sz="0" w:space="0" w:color="auto"/>
        <w:bottom w:val="none" w:sz="0" w:space="0" w:color="auto"/>
        <w:right w:val="none" w:sz="0" w:space="0" w:color="auto"/>
      </w:divBdr>
    </w:div>
    <w:div w:id="774056424">
      <w:bodyDiv w:val="1"/>
      <w:marLeft w:val="0"/>
      <w:marRight w:val="0"/>
      <w:marTop w:val="0"/>
      <w:marBottom w:val="0"/>
      <w:divBdr>
        <w:top w:val="none" w:sz="0" w:space="0" w:color="auto"/>
        <w:left w:val="none" w:sz="0" w:space="0" w:color="auto"/>
        <w:bottom w:val="none" w:sz="0" w:space="0" w:color="auto"/>
        <w:right w:val="none" w:sz="0" w:space="0" w:color="auto"/>
      </w:divBdr>
      <w:divsChild>
        <w:div w:id="295180270">
          <w:marLeft w:val="547"/>
          <w:marRight w:val="0"/>
          <w:marTop w:val="40"/>
          <w:marBottom w:val="40"/>
          <w:divBdr>
            <w:top w:val="none" w:sz="0" w:space="0" w:color="auto"/>
            <w:left w:val="none" w:sz="0" w:space="0" w:color="auto"/>
            <w:bottom w:val="none" w:sz="0" w:space="0" w:color="auto"/>
            <w:right w:val="none" w:sz="0" w:space="0" w:color="auto"/>
          </w:divBdr>
        </w:div>
        <w:div w:id="384648960">
          <w:marLeft w:val="547"/>
          <w:marRight w:val="0"/>
          <w:marTop w:val="40"/>
          <w:marBottom w:val="40"/>
          <w:divBdr>
            <w:top w:val="none" w:sz="0" w:space="0" w:color="auto"/>
            <w:left w:val="none" w:sz="0" w:space="0" w:color="auto"/>
            <w:bottom w:val="none" w:sz="0" w:space="0" w:color="auto"/>
            <w:right w:val="none" w:sz="0" w:space="0" w:color="auto"/>
          </w:divBdr>
        </w:div>
        <w:div w:id="407044576">
          <w:marLeft w:val="547"/>
          <w:marRight w:val="0"/>
          <w:marTop w:val="40"/>
          <w:marBottom w:val="40"/>
          <w:divBdr>
            <w:top w:val="none" w:sz="0" w:space="0" w:color="auto"/>
            <w:left w:val="none" w:sz="0" w:space="0" w:color="auto"/>
            <w:bottom w:val="none" w:sz="0" w:space="0" w:color="auto"/>
            <w:right w:val="none" w:sz="0" w:space="0" w:color="auto"/>
          </w:divBdr>
        </w:div>
        <w:div w:id="760757560">
          <w:marLeft w:val="547"/>
          <w:marRight w:val="0"/>
          <w:marTop w:val="40"/>
          <w:marBottom w:val="40"/>
          <w:divBdr>
            <w:top w:val="none" w:sz="0" w:space="0" w:color="auto"/>
            <w:left w:val="none" w:sz="0" w:space="0" w:color="auto"/>
            <w:bottom w:val="none" w:sz="0" w:space="0" w:color="auto"/>
            <w:right w:val="none" w:sz="0" w:space="0" w:color="auto"/>
          </w:divBdr>
        </w:div>
        <w:div w:id="1032803059">
          <w:marLeft w:val="547"/>
          <w:marRight w:val="0"/>
          <w:marTop w:val="40"/>
          <w:marBottom w:val="40"/>
          <w:divBdr>
            <w:top w:val="none" w:sz="0" w:space="0" w:color="auto"/>
            <w:left w:val="none" w:sz="0" w:space="0" w:color="auto"/>
            <w:bottom w:val="none" w:sz="0" w:space="0" w:color="auto"/>
            <w:right w:val="none" w:sz="0" w:space="0" w:color="auto"/>
          </w:divBdr>
        </w:div>
        <w:div w:id="1881281188">
          <w:marLeft w:val="547"/>
          <w:marRight w:val="0"/>
          <w:marTop w:val="40"/>
          <w:marBottom w:val="40"/>
          <w:divBdr>
            <w:top w:val="none" w:sz="0" w:space="0" w:color="auto"/>
            <w:left w:val="none" w:sz="0" w:space="0" w:color="auto"/>
            <w:bottom w:val="none" w:sz="0" w:space="0" w:color="auto"/>
            <w:right w:val="none" w:sz="0" w:space="0" w:color="auto"/>
          </w:divBdr>
        </w:div>
        <w:div w:id="2027095657">
          <w:marLeft w:val="547"/>
          <w:marRight w:val="0"/>
          <w:marTop w:val="40"/>
          <w:marBottom w:val="40"/>
          <w:divBdr>
            <w:top w:val="none" w:sz="0" w:space="0" w:color="auto"/>
            <w:left w:val="none" w:sz="0" w:space="0" w:color="auto"/>
            <w:bottom w:val="none" w:sz="0" w:space="0" w:color="auto"/>
            <w:right w:val="none" w:sz="0" w:space="0" w:color="auto"/>
          </w:divBdr>
        </w:div>
        <w:div w:id="2045590106">
          <w:marLeft w:val="547"/>
          <w:marRight w:val="0"/>
          <w:marTop w:val="40"/>
          <w:marBottom w:val="40"/>
          <w:divBdr>
            <w:top w:val="none" w:sz="0" w:space="0" w:color="auto"/>
            <w:left w:val="none" w:sz="0" w:space="0" w:color="auto"/>
            <w:bottom w:val="none" w:sz="0" w:space="0" w:color="auto"/>
            <w:right w:val="none" w:sz="0" w:space="0" w:color="auto"/>
          </w:divBdr>
        </w:div>
      </w:divsChild>
    </w:div>
    <w:div w:id="793018075">
      <w:bodyDiv w:val="1"/>
      <w:marLeft w:val="0"/>
      <w:marRight w:val="0"/>
      <w:marTop w:val="0"/>
      <w:marBottom w:val="0"/>
      <w:divBdr>
        <w:top w:val="none" w:sz="0" w:space="0" w:color="auto"/>
        <w:left w:val="none" w:sz="0" w:space="0" w:color="auto"/>
        <w:bottom w:val="none" w:sz="0" w:space="0" w:color="auto"/>
        <w:right w:val="none" w:sz="0" w:space="0" w:color="auto"/>
      </w:divBdr>
    </w:div>
    <w:div w:id="855196559">
      <w:bodyDiv w:val="1"/>
      <w:marLeft w:val="0"/>
      <w:marRight w:val="0"/>
      <w:marTop w:val="0"/>
      <w:marBottom w:val="0"/>
      <w:divBdr>
        <w:top w:val="none" w:sz="0" w:space="0" w:color="auto"/>
        <w:left w:val="none" w:sz="0" w:space="0" w:color="auto"/>
        <w:bottom w:val="none" w:sz="0" w:space="0" w:color="auto"/>
        <w:right w:val="none" w:sz="0" w:space="0" w:color="auto"/>
      </w:divBdr>
    </w:div>
    <w:div w:id="864245124">
      <w:bodyDiv w:val="1"/>
      <w:marLeft w:val="0"/>
      <w:marRight w:val="0"/>
      <w:marTop w:val="0"/>
      <w:marBottom w:val="0"/>
      <w:divBdr>
        <w:top w:val="none" w:sz="0" w:space="0" w:color="auto"/>
        <w:left w:val="none" w:sz="0" w:space="0" w:color="auto"/>
        <w:bottom w:val="none" w:sz="0" w:space="0" w:color="auto"/>
        <w:right w:val="none" w:sz="0" w:space="0" w:color="auto"/>
      </w:divBdr>
      <w:divsChild>
        <w:div w:id="26495386">
          <w:marLeft w:val="446"/>
          <w:marRight w:val="0"/>
          <w:marTop w:val="0"/>
          <w:marBottom w:val="0"/>
          <w:divBdr>
            <w:top w:val="none" w:sz="0" w:space="0" w:color="auto"/>
            <w:left w:val="none" w:sz="0" w:space="0" w:color="auto"/>
            <w:bottom w:val="none" w:sz="0" w:space="0" w:color="auto"/>
            <w:right w:val="none" w:sz="0" w:space="0" w:color="auto"/>
          </w:divBdr>
        </w:div>
        <w:div w:id="452602680">
          <w:marLeft w:val="446"/>
          <w:marRight w:val="0"/>
          <w:marTop w:val="0"/>
          <w:marBottom w:val="0"/>
          <w:divBdr>
            <w:top w:val="none" w:sz="0" w:space="0" w:color="auto"/>
            <w:left w:val="none" w:sz="0" w:space="0" w:color="auto"/>
            <w:bottom w:val="none" w:sz="0" w:space="0" w:color="auto"/>
            <w:right w:val="none" w:sz="0" w:space="0" w:color="auto"/>
          </w:divBdr>
        </w:div>
        <w:div w:id="506215959">
          <w:marLeft w:val="446"/>
          <w:marRight w:val="0"/>
          <w:marTop w:val="0"/>
          <w:marBottom w:val="0"/>
          <w:divBdr>
            <w:top w:val="none" w:sz="0" w:space="0" w:color="auto"/>
            <w:left w:val="none" w:sz="0" w:space="0" w:color="auto"/>
            <w:bottom w:val="none" w:sz="0" w:space="0" w:color="auto"/>
            <w:right w:val="none" w:sz="0" w:space="0" w:color="auto"/>
          </w:divBdr>
        </w:div>
        <w:div w:id="719549550">
          <w:marLeft w:val="446"/>
          <w:marRight w:val="0"/>
          <w:marTop w:val="0"/>
          <w:marBottom w:val="0"/>
          <w:divBdr>
            <w:top w:val="none" w:sz="0" w:space="0" w:color="auto"/>
            <w:left w:val="none" w:sz="0" w:space="0" w:color="auto"/>
            <w:bottom w:val="none" w:sz="0" w:space="0" w:color="auto"/>
            <w:right w:val="none" w:sz="0" w:space="0" w:color="auto"/>
          </w:divBdr>
        </w:div>
        <w:div w:id="903101245">
          <w:marLeft w:val="446"/>
          <w:marRight w:val="0"/>
          <w:marTop w:val="0"/>
          <w:marBottom w:val="0"/>
          <w:divBdr>
            <w:top w:val="none" w:sz="0" w:space="0" w:color="auto"/>
            <w:left w:val="none" w:sz="0" w:space="0" w:color="auto"/>
            <w:bottom w:val="none" w:sz="0" w:space="0" w:color="auto"/>
            <w:right w:val="none" w:sz="0" w:space="0" w:color="auto"/>
          </w:divBdr>
        </w:div>
        <w:div w:id="1056512652">
          <w:marLeft w:val="446"/>
          <w:marRight w:val="0"/>
          <w:marTop w:val="0"/>
          <w:marBottom w:val="0"/>
          <w:divBdr>
            <w:top w:val="none" w:sz="0" w:space="0" w:color="auto"/>
            <w:left w:val="none" w:sz="0" w:space="0" w:color="auto"/>
            <w:bottom w:val="none" w:sz="0" w:space="0" w:color="auto"/>
            <w:right w:val="none" w:sz="0" w:space="0" w:color="auto"/>
          </w:divBdr>
        </w:div>
        <w:div w:id="1534613885">
          <w:marLeft w:val="446"/>
          <w:marRight w:val="0"/>
          <w:marTop w:val="0"/>
          <w:marBottom w:val="0"/>
          <w:divBdr>
            <w:top w:val="none" w:sz="0" w:space="0" w:color="auto"/>
            <w:left w:val="none" w:sz="0" w:space="0" w:color="auto"/>
            <w:bottom w:val="none" w:sz="0" w:space="0" w:color="auto"/>
            <w:right w:val="none" w:sz="0" w:space="0" w:color="auto"/>
          </w:divBdr>
        </w:div>
        <w:div w:id="1769539262">
          <w:marLeft w:val="446"/>
          <w:marRight w:val="0"/>
          <w:marTop w:val="0"/>
          <w:marBottom w:val="0"/>
          <w:divBdr>
            <w:top w:val="none" w:sz="0" w:space="0" w:color="auto"/>
            <w:left w:val="none" w:sz="0" w:space="0" w:color="auto"/>
            <w:bottom w:val="none" w:sz="0" w:space="0" w:color="auto"/>
            <w:right w:val="none" w:sz="0" w:space="0" w:color="auto"/>
          </w:divBdr>
        </w:div>
        <w:div w:id="1940336861">
          <w:marLeft w:val="446"/>
          <w:marRight w:val="0"/>
          <w:marTop w:val="0"/>
          <w:marBottom w:val="0"/>
          <w:divBdr>
            <w:top w:val="none" w:sz="0" w:space="0" w:color="auto"/>
            <w:left w:val="none" w:sz="0" w:space="0" w:color="auto"/>
            <w:bottom w:val="none" w:sz="0" w:space="0" w:color="auto"/>
            <w:right w:val="none" w:sz="0" w:space="0" w:color="auto"/>
          </w:divBdr>
        </w:div>
      </w:divsChild>
    </w:div>
    <w:div w:id="870998136">
      <w:bodyDiv w:val="1"/>
      <w:marLeft w:val="0"/>
      <w:marRight w:val="0"/>
      <w:marTop w:val="0"/>
      <w:marBottom w:val="0"/>
      <w:divBdr>
        <w:top w:val="none" w:sz="0" w:space="0" w:color="auto"/>
        <w:left w:val="none" w:sz="0" w:space="0" w:color="auto"/>
        <w:bottom w:val="none" w:sz="0" w:space="0" w:color="auto"/>
        <w:right w:val="none" w:sz="0" w:space="0" w:color="auto"/>
      </w:divBdr>
    </w:div>
    <w:div w:id="877547598">
      <w:bodyDiv w:val="1"/>
      <w:marLeft w:val="0"/>
      <w:marRight w:val="0"/>
      <w:marTop w:val="0"/>
      <w:marBottom w:val="0"/>
      <w:divBdr>
        <w:top w:val="none" w:sz="0" w:space="0" w:color="auto"/>
        <w:left w:val="none" w:sz="0" w:space="0" w:color="auto"/>
        <w:bottom w:val="none" w:sz="0" w:space="0" w:color="auto"/>
        <w:right w:val="none" w:sz="0" w:space="0" w:color="auto"/>
      </w:divBdr>
    </w:div>
    <w:div w:id="886725442">
      <w:bodyDiv w:val="1"/>
      <w:marLeft w:val="0"/>
      <w:marRight w:val="0"/>
      <w:marTop w:val="0"/>
      <w:marBottom w:val="0"/>
      <w:divBdr>
        <w:top w:val="none" w:sz="0" w:space="0" w:color="auto"/>
        <w:left w:val="none" w:sz="0" w:space="0" w:color="auto"/>
        <w:bottom w:val="none" w:sz="0" w:space="0" w:color="auto"/>
        <w:right w:val="none" w:sz="0" w:space="0" w:color="auto"/>
      </w:divBdr>
    </w:div>
    <w:div w:id="920681933">
      <w:bodyDiv w:val="1"/>
      <w:marLeft w:val="0"/>
      <w:marRight w:val="0"/>
      <w:marTop w:val="0"/>
      <w:marBottom w:val="0"/>
      <w:divBdr>
        <w:top w:val="none" w:sz="0" w:space="0" w:color="auto"/>
        <w:left w:val="none" w:sz="0" w:space="0" w:color="auto"/>
        <w:bottom w:val="none" w:sz="0" w:space="0" w:color="auto"/>
        <w:right w:val="none" w:sz="0" w:space="0" w:color="auto"/>
      </w:divBdr>
      <w:divsChild>
        <w:div w:id="1681271952">
          <w:marLeft w:val="0"/>
          <w:marRight w:val="0"/>
          <w:marTop w:val="0"/>
          <w:marBottom w:val="0"/>
          <w:divBdr>
            <w:top w:val="none" w:sz="0" w:space="0" w:color="auto"/>
            <w:left w:val="none" w:sz="0" w:space="0" w:color="auto"/>
            <w:bottom w:val="none" w:sz="0" w:space="0" w:color="auto"/>
            <w:right w:val="none" w:sz="0" w:space="0" w:color="auto"/>
          </w:divBdr>
        </w:div>
        <w:div w:id="1902056602">
          <w:marLeft w:val="0"/>
          <w:marRight w:val="0"/>
          <w:marTop w:val="0"/>
          <w:marBottom w:val="0"/>
          <w:divBdr>
            <w:top w:val="none" w:sz="0" w:space="0" w:color="auto"/>
            <w:left w:val="none" w:sz="0" w:space="0" w:color="auto"/>
            <w:bottom w:val="none" w:sz="0" w:space="0" w:color="auto"/>
            <w:right w:val="none" w:sz="0" w:space="0" w:color="auto"/>
          </w:divBdr>
        </w:div>
      </w:divsChild>
    </w:div>
    <w:div w:id="946037046">
      <w:bodyDiv w:val="1"/>
      <w:marLeft w:val="0"/>
      <w:marRight w:val="0"/>
      <w:marTop w:val="0"/>
      <w:marBottom w:val="0"/>
      <w:divBdr>
        <w:top w:val="none" w:sz="0" w:space="0" w:color="auto"/>
        <w:left w:val="none" w:sz="0" w:space="0" w:color="auto"/>
        <w:bottom w:val="none" w:sz="0" w:space="0" w:color="auto"/>
        <w:right w:val="none" w:sz="0" w:space="0" w:color="auto"/>
      </w:divBdr>
    </w:div>
    <w:div w:id="957107285">
      <w:bodyDiv w:val="1"/>
      <w:marLeft w:val="0"/>
      <w:marRight w:val="0"/>
      <w:marTop w:val="0"/>
      <w:marBottom w:val="0"/>
      <w:divBdr>
        <w:top w:val="none" w:sz="0" w:space="0" w:color="auto"/>
        <w:left w:val="none" w:sz="0" w:space="0" w:color="auto"/>
        <w:bottom w:val="none" w:sz="0" w:space="0" w:color="auto"/>
        <w:right w:val="none" w:sz="0" w:space="0" w:color="auto"/>
      </w:divBdr>
    </w:div>
    <w:div w:id="977028339">
      <w:bodyDiv w:val="1"/>
      <w:marLeft w:val="0"/>
      <w:marRight w:val="0"/>
      <w:marTop w:val="0"/>
      <w:marBottom w:val="0"/>
      <w:divBdr>
        <w:top w:val="none" w:sz="0" w:space="0" w:color="auto"/>
        <w:left w:val="none" w:sz="0" w:space="0" w:color="auto"/>
        <w:bottom w:val="none" w:sz="0" w:space="0" w:color="auto"/>
        <w:right w:val="none" w:sz="0" w:space="0" w:color="auto"/>
      </w:divBdr>
      <w:divsChild>
        <w:div w:id="404768423">
          <w:marLeft w:val="1339"/>
          <w:marRight w:val="0"/>
          <w:marTop w:val="200"/>
          <w:marBottom w:val="0"/>
          <w:divBdr>
            <w:top w:val="none" w:sz="0" w:space="0" w:color="auto"/>
            <w:left w:val="none" w:sz="0" w:space="0" w:color="auto"/>
            <w:bottom w:val="none" w:sz="0" w:space="0" w:color="auto"/>
            <w:right w:val="none" w:sz="0" w:space="0" w:color="auto"/>
          </w:divBdr>
        </w:div>
        <w:div w:id="1214121189">
          <w:marLeft w:val="1339"/>
          <w:marRight w:val="0"/>
          <w:marTop w:val="200"/>
          <w:marBottom w:val="0"/>
          <w:divBdr>
            <w:top w:val="none" w:sz="0" w:space="0" w:color="auto"/>
            <w:left w:val="none" w:sz="0" w:space="0" w:color="auto"/>
            <w:bottom w:val="none" w:sz="0" w:space="0" w:color="auto"/>
            <w:right w:val="none" w:sz="0" w:space="0" w:color="auto"/>
          </w:divBdr>
        </w:div>
        <w:div w:id="1361588879">
          <w:marLeft w:val="1339"/>
          <w:marRight w:val="0"/>
          <w:marTop w:val="200"/>
          <w:marBottom w:val="0"/>
          <w:divBdr>
            <w:top w:val="none" w:sz="0" w:space="0" w:color="auto"/>
            <w:left w:val="none" w:sz="0" w:space="0" w:color="auto"/>
            <w:bottom w:val="none" w:sz="0" w:space="0" w:color="auto"/>
            <w:right w:val="none" w:sz="0" w:space="0" w:color="auto"/>
          </w:divBdr>
        </w:div>
        <w:div w:id="2070418071">
          <w:marLeft w:val="1339"/>
          <w:marRight w:val="0"/>
          <w:marTop w:val="200"/>
          <w:marBottom w:val="0"/>
          <w:divBdr>
            <w:top w:val="none" w:sz="0" w:space="0" w:color="auto"/>
            <w:left w:val="none" w:sz="0" w:space="0" w:color="auto"/>
            <w:bottom w:val="none" w:sz="0" w:space="0" w:color="auto"/>
            <w:right w:val="none" w:sz="0" w:space="0" w:color="auto"/>
          </w:divBdr>
        </w:div>
      </w:divsChild>
    </w:div>
    <w:div w:id="981153007">
      <w:bodyDiv w:val="1"/>
      <w:marLeft w:val="0"/>
      <w:marRight w:val="0"/>
      <w:marTop w:val="0"/>
      <w:marBottom w:val="0"/>
      <w:divBdr>
        <w:top w:val="none" w:sz="0" w:space="0" w:color="auto"/>
        <w:left w:val="none" w:sz="0" w:space="0" w:color="auto"/>
        <w:bottom w:val="none" w:sz="0" w:space="0" w:color="auto"/>
        <w:right w:val="none" w:sz="0" w:space="0" w:color="auto"/>
      </w:divBdr>
    </w:div>
    <w:div w:id="985935813">
      <w:bodyDiv w:val="1"/>
      <w:marLeft w:val="0"/>
      <w:marRight w:val="0"/>
      <w:marTop w:val="0"/>
      <w:marBottom w:val="0"/>
      <w:divBdr>
        <w:top w:val="none" w:sz="0" w:space="0" w:color="auto"/>
        <w:left w:val="none" w:sz="0" w:space="0" w:color="auto"/>
        <w:bottom w:val="none" w:sz="0" w:space="0" w:color="auto"/>
        <w:right w:val="none" w:sz="0" w:space="0" w:color="auto"/>
      </w:divBdr>
    </w:div>
    <w:div w:id="990983922">
      <w:bodyDiv w:val="1"/>
      <w:marLeft w:val="0"/>
      <w:marRight w:val="0"/>
      <w:marTop w:val="0"/>
      <w:marBottom w:val="0"/>
      <w:divBdr>
        <w:top w:val="none" w:sz="0" w:space="0" w:color="auto"/>
        <w:left w:val="none" w:sz="0" w:space="0" w:color="auto"/>
        <w:bottom w:val="none" w:sz="0" w:space="0" w:color="auto"/>
        <w:right w:val="none" w:sz="0" w:space="0" w:color="auto"/>
      </w:divBdr>
      <w:divsChild>
        <w:div w:id="860974836">
          <w:marLeft w:val="0"/>
          <w:marRight w:val="0"/>
          <w:marTop w:val="0"/>
          <w:marBottom w:val="0"/>
          <w:divBdr>
            <w:top w:val="none" w:sz="0" w:space="0" w:color="auto"/>
            <w:left w:val="none" w:sz="0" w:space="0" w:color="auto"/>
            <w:bottom w:val="none" w:sz="0" w:space="0" w:color="auto"/>
            <w:right w:val="none" w:sz="0" w:space="0" w:color="auto"/>
          </w:divBdr>
        </w:div>
        <w:div w:id="1967422914">
          <w:marLeft w:val="0"/>
          <w:marRight w:val="0"/>
          <w:marTop w:val="0"/>
          <w:marBottom w:val="0"/>
          <w:divBdr>
            <w:top w:val="none" w:sz="0" w:space="0" w:color="auto"/>
            <w:left w:val="none" w:sz="0" w:space="0" w:color="auto"/>
            <w:bottom w:val="none" w:sz="0" w:space="0" w:color="auto"/>
            <w:right w:val="none" w:sz="0" w:space="0" w:color="auto"/>
          </w:divBdr>
        </w:div>
      </w:divsChild>
    </w:div>
    <w:div w:id="999388125">
      <w:bodyDiv w:val="1"/>
      <w:marLeft w:val="0"/>
      <w:marRight w:val="0"/>
      <w:marTop w:val="0"/>
      <w:marBottom w:val="0"/>
      <w:divBdr>
        <w:top w:val="none" w:sz="0" w:space="0" w:color="auto"/>
        <w:left w:val="none" w:sz="0" w:space="0" w:color="auto"/>
        <w:bottom w:val="none" w:sz="0" w:space="0" w:color="auto"/>
        <w:right w:val="none" w:sz="0" w:space="0" w:color="auto"/>
      </w:divBdr>
      <w:divsChild>
        <w:div w:id="349374416">
          <w:marLeft w:val="1166"/>
          <w:marRight w:val="0"/>
          <w:marTop w:val="120"/>
          <w:marBottom w:val="120"/>
          <w:divBdr>
            <w:top w:val="none" w:sz="0" w:space="0" w:color="auto"/>
            <w:left w:val="none" w:sz="0" w:space="0" w:color="auto"/>
            <w:bottom w:val="none" w:sz="0" w:space="0" w:color="auto"/>
            <w:right w:val="none" w:sz="0" w:space="0" w:color="auto"/>
          </w:divBdr>
        </w:div>
      </w:divsChild>
    </w:div>
    <w:div w:id="1019351782">
      <w:bodyDiv w:val="1"/>
      <w:marLeft w:val="0"/>
      <w:marRight w:val="0"/>
      <w:marTop w:val="0"/>
      <w:marBottom w:val="0"/>
      <w:divBdr>
        <w:top w:val="none" w:sz="0" w:space="0" w:color="auto"/>
        <w:left w:val="none" w:sz="0" w:space="0" w:color="auto"/>
        <w:bottom w:val="none" w:sz="0" w:space="0" w:color="auto"/>
        <w:right w:val="none" w:sz="0" w:space="0" w:color="auto"/>
      </w:divBdr>
    </w:div>
    <w:div w:id="1040859470">
      <w:bodyDiv w:val="1"/>
      <w:marLeft w:val="0"/>
      <w:marRight w:val="0"/>
      <w:marTop w:val="0"/>
      <w:marBottom w:val="0"/>
      <w:divBdr>
        <w:top w:val="none" w:sz="0" w:space="0" w:color="auto"/>
        <w:left w:val="none" w:sz="0" w:space="0" w:color="auto"/>
        <w:bottom w:val="none" w:sz="0" w:space="0" w:color="auto"/>
        <w:right w:val="none" w:sz="0" w:space="0" w:color="auto"/>
      </w:divBdr>
    </w:div>
    <w:div w:id="1075199438">
      <w:bodyDiv w:val="1"/>
      <w:marLeft w:val="0"/>
      <w:marRight w:val="0"/>
      <w:marTop w:val="0"/>
      <w:marBottom w:val="0"/>
      <w:divBdr>
        <w:top w:val="none" w:sz="0" w:space="0" w:color="auto"/>
        <w:left w:val="none" w:sz="0" w:space="0" w:color="auto"/>
        <w:bottom w:val="none" w:sz="0" w:space="0" w:color="auto"/>
        <w:right w:val="none" w:sz="0" w:space="0" w:color="auto"/>
      </w:divBdr>
    </w:div>
    <w:div w:id="1124692153">
      <w:bodyDiv w:val="1"/>
      <w:marLeft w:val="0"/>
      <w:marRight w:val="0"/>
      <w:marTop w:val="0"/>
      <w:marBottom w:val="0"/>
      <w:divBdr>
        <w:top w:val="none" w:sz="0" w:space="0" w:color="auto"/>
        <w:left w:val="none" w:sz="0" w:space="0" w:color="auto"/>
        <w:bottom w:val="none" w:sz="0" w:space="0" w:color="auto"/>
        <w:right w:val="none" w:sz="0" w:space="0" w:color="auto"/>
      </w:divBdr>
    </w:div>
    <w:div w:id="1163857794">
      <w:bodyDiv w:val="1"/>
      <w:marLeft w:val="0"/>
      <w:marRight w:val="0"/>
      <w:marTop w:val="0"/>
      <w:marBottom w:val="0"/>
      <w:divBdr>
        <w:top w:val="none" w:sz="0" w:space="0" w:color="auto"/>
        <w:left w:val="none" w:sz="0" w:space="0" w:color="auto"/>
        <w:bottom w:val="none" w:sz="0" w:space="0" w:color="auto"/>
        <w:right w:val="none" w:sz="0" w:space="0" w:color="auto"/>
      </w:divBdr>
      <w:divsChild>
        <w:div w:id="1295597134">
          <w:marLeft w:val="0"/>
          <w:marRight w:val="0"/>
          <w:marTop w:val="0"/>
          <w:marBottom w:val="0"/>
          <w:divBdr>
            <w:top w:val="none" w:sz="0" w:space="0" w:color="auto"/>
            <w:left w:val="none" w:sz="0" w:space="0" w:color="auto"/>
            <w:bottom w:val="none" w:sz="0" w:space="0" w:color="auto"/>
            <w:right w:val="none" w:sz="0" w:space="0" w:color="auto"/>
          </w:divBdr>
        </w:div>
        <w:div w:id="1726223503">
          <w:marLeft w:val="0"/>
          <w:marRight w:val="0"/>
          <w:marTop w:val="0"/>
          <w:marBottom w:val="0"/>
          <w:divBdr>
            <w:top w:val="none" w:sz="0" w:space="0" w:color="auto"/>
            <w:left w:val="none" w:sz="0" w:space="0" w:color="auto"/>
            <w:bottom w:val="none" w:sz="0" w:space="0" w:color="auto"/>
            <w:right w:val="none" w:sz="0" w:space="0" w:color="auto"/>
          </w:divBdr>
        </w:div>
      </w:divsChild>
    </w:div>
    <w:div w:id="1164859262">
      <w:bodyDiv w:val="1"/>
      <w:marLeft w:val="0"/>
      <w:marRight w:val="0"/>
      <w:marTop w:val="0"/>
      <w:marBottom w:val="0"/>
      <w:divBdr>
        <w:top w:val="none" w:sz="0" w:space="0" w:color="auto"/>
        <w:left w:val="none" w:sz="0" w:space="0" w:color="auto"/>
        <w:bottom w:val="none" w:sz="0" w:space="0" w:color="auto"/>
        <w:right w:val="none" w:sz="0" w:space="0" w:color="auto"/>
      </w:divBdr>
    </w:div>
    <w:div w:id="1174688733">
      <w:bodyDiv w:val="1"/>
      <w:marLeft w:val="0"/>
      <w:marRight w:val="0"/>
      <w:marTop w:val="0"/>
      <w:marBottom w:val="0"/>
      <w:divBdr>
        <w:top w:val="none" w:sz="0" w:space="0" w:color="auto"/>
        <w:left w:val="none" w:sz="0" w:space="0" w:color="auto"/>
        <w:bottom w:val="none" w:sz="0" w:space="0" w:color="auto"/>
        <w:right w:val="none" w:sz="0" w:space="0" w:color="auto"/>
      </w:divBdr>
    </w:div>
    <w:div w:id="1201430587">
      <w:bodyDiv w:val="1"/>
      <w:marLeft w:val="0"/>
      <w:marRight w:val="0"/>
      <w:marTop w:val="0"/>
      <w:marBottom w:val="0"/>
      <w:divBdr>
        <w:top w:val="none" w:sz="0" w:space="0" w:color="auto"/>
        <w:left w:val="none" w:sz="0" w:space="0" w:color="auto"/>
        <w:bottom w:val="none" w:sz="0" w:space="0" w:color="auto"/>
        <w:right w:val="none" w:sz="0" w:space="0" w:color="auto"/>
      </w:divBdr>
    </w:div>
    <w:div w:id="1221596381">
      <w:bodyDiv w:val="1"/>
      <w:marLeft w:val="0"/>
      <w:marRight w:val="0"/>
      <w:marTop w:val="0"/>
      <w:marBottom w:val="0"/>
      <w:divBdr>
        <w:top w:val="none" w:sz="0" w:space="0" w:color="auto"/>
        <w:left w:val="none" w:sz="0" w:space="0" w:color="auto"/>
        <w:bottom w:val="none" w:sz="0" w:space="0" w:color="auto"/>
        <w:right w:val="none" w:sz="0" w:space="0" w:color="auto"/>
      </w:divBdr>
    </w:div>
    <w:div w:id="1229877735">
      <w:bodyDiv w:val="1"/>
      <w:marLeft w:val="0"/>
      <w:marRight w:val="0"/>
      <w:marTop w:val="0"/>
      <w:marBottom w:val="0"/>
      <w:divBdr>
        <w:top w:val="none" w:sz="0" w:space="0" w:color="auto"/>
        <w:left w:val="none" w:sz="0" w:space="0" w:color="auto"/>
        <w:bottom w:val="none" w:sz="0" w:space="0" w:color="auto"/>
        <w:right w:val="none" w:sz="0" w:space="0" w:color="auto"/>
      </w:divBdr>
    </w:div>
    <w:div w:id="1246185196">
      <w:bodyDiv w:val="1"/>
      <w:marLeft w:val="0"/>
      <w:marRight w:val="0"/>
      <w:marTop w:val="0"/>
      <w:marBottom w:val="0"/>
      <w:divBdr>
        <w:top w:val="none" w:sz="0" w:space="0" w:color="auto"/>
        <w:left w:val="none" w:sz="0" w:space="0" w:color="auto"/>
        <w:bottom w:val="none" w:sz="0" w:space="0" w:color="auto"/>
        <w:right w:val="none" w:sz="0" w:space="0" w:color="auto"/>
      </w:divBdr>
      <w:divsChild>
        <w:div w:id="206915870">
          <w:marLeft w:val="547"/>
          <w:marRight w:val="0"/>
          <w:marTop w:val="40"/>
          <w:marBottom w:val="40"/>
          <w:divBdr>
            <w:top w:val="none" w:sz="0" w:space="0" w:color="auto"/>
            <w:left w:val="none" w:sz="0" w:space="0" w:color="auto"/>
            <w:bottom w:val="none" w:sz="0" w:space="0" w:color="auto"/>
            <w:right w:val="none" w:sz="0" w:space="0" w:color="auto"/>
          </w:divBdr>
        </w:div>
        <w:div w:id="407725978">
          <w:marLeft w:val="547"/>
          <w:marRight w:val="0"/>
          <w:marTop w:val="40"/>
          <w:marBottom w:val="40"/>
          <w:divBdr>
            <w:top w:val="none" w:sz="0" w:space="0" w:color="auto"/>
            <w:left w:val="none" w:sz="0" w:space="0" w:color="auto"/>
            <w:bottom w:val="none" w:sz="0" w:space="0" w:color="auto"/>
            <w:right w:val="none" w:sz="0" w:space="0" w:color="auto"/>
          </w:divBdr>
        </w:div>
        <w:div w:id="843252340">
          <w:marLeft w:val="547"/>
          <w:marRight w:val="0"/>
          <w:marTop w:val="40"/>
          <w:marBottom w:val="40"/>
          <w:divBdr>
            <w:top w:val="none" w:sz="0" w:space="0" w:color="auto"/>
            <w:left w:val="none" w:sz="0" w:space="0" w:color="auto"/>
            <w:bottom w:val="none" w:sz="0" w:space="0" w:color="auto"/>
            <w:right w:val="none" w:sz="0" w:space="0" w:color="auto"/>
          </w:divBdr>
        </w:div>
        <w:div w:id="966744280">
          <w:marLeft w:val="547"/>
          <w:marRight w:val="0"/>
          <w:marTop w:val="40"/>
          <w:marBottom w:val="40"/>
          <w:divBdr>
            <w:top w:val="none" w:sz="0" w:space="0" w:color="auto"/>
            <w:left w:val="none" w:sz="0" w:space="0" w:color="auto"/>
            <w:bottom w:val="none" w:sz="0" w:space="0" w:color="auto"/>
            <w:right w:val="none" w:sz="0" w:space="0" w:color="auto"/>
          </w:divBdr>
        </w:div>
        <w:div w:id="1065100899">
          <w:marLeft w:val="547"/>
          <w:marRight w:val="0"/>
          <w:marTop w:val="40"/>
          <w:marBottom w:val="40"/>
          <w:divBdr>
            <w:top w:val="none" w:sz="0" w:space="0" w:color="auto"/>
            <w:left w:val="none" w:sz="0" w:space="0" w:color="auto"/>
            <w:bottom w:val="none" w:sz="0" w:space="0" w:color="auto"/>
            <w:right w:val="none" w:sz="0" w:space="0" w:color="auto"/>
          </w:divBdr>
        </w:div>
        <w:div w:id="1156923518">
          <w:marLeft w:val="547"/>
          <w:marRight w:val="0"/>
          <w:marTop w:val="40"/>
          <w:marBottom w:val="40"/>
          <w:divBdr>
            <w:top w:val="none" w:sz="0" w:space="0" w:color="auto"/>
            <w:left w:val="none" w:sz="0" w:space="0" w:color="auto"/>
            <w:bottom w:val="none" w:sz="0" w:space="0" w:color="auto"/>
            <w:right w:val="none" w:sz="0" w:space="0" w:color="auto"/>
          </w:divBdr>
        </w:div>
        <w:div w:id="1710102716">
          <w:marLeft w:val="547"/>
          <w:marRight w:val="0"/>
          <w:marTop w:val="40"/>
          <w:marBottom w:val="40"/>
          <w:divBdr>
            <w:top w:val="none" w:sz="0" w:space="0" w:color="auto"/>
            <w:left w:val="none" w:sz="0" w:space="0" w:color="auto"/>
            <w:bottom w:val="none" w:sz="0" w:space="0" w:color="auto"/>
            <w:right w:val="none" w:sz="0" w:space="0" w:color="auto"/>
          </w:divBdr>
        </w:div>
        <w:div w:id="2059206681">
          <w:marLeft w:val="547"/>
          <w:marRight w:val="0"/>
          <w:marTop w:val="40"/>
          <w:marBottom w:val="40"/>
          <w:divBdr>
            <w:top w:val="none" w:sz="0" w:space="0" w:color="auto"/>
            <w:left w:val="none" w:sz="0" w:space="0" w:color="auto"/>
            <w:bottom w:val="none" w:sz="0" w:space="0" w:color="auto"/>
            <w:right w:val="none" w:sz="0" w:space="0" w:color="auto"/>
          </w:divBdr>
        </w:div>
      </w:divsChild>
    </w:div>
    <w:div w:id="1255364081">
      <w:bodyDiv w:val="1"/>
      <w:marLeft w:val="0"/>
      <w:marRight w:val="0"/>
      <w:marTop w:val="0"/>
      <w:marBottom w:val="0"/>
      <w:divBdr>
        <w:top w:val="none" w:sz="0" w:space="0" w:color="auto"/>
        <w:left w:val="none" w:sz="0" w:space="0" w:color="auto"/>
        <w:bottom w:val="none" w:sz="0" w:space="0" w:color="auto"/>
        <w:right w:val="none" w:sz="0" w:space="0" w:color="auto"/>
      </w:divBdr>
    </w:div>
    <w:div w:id="1265771069">
      <w:bodyDiv w:val="1"/>
      <w:marLeft w:val="0"/>
      <w:marRight w:val="0"/>
      <w:marTop w:val="0"/>
      <w:marBottom w:val="0"/>
      <w:divBdr>
        <w:top w:val="none" w:sz="0" w:space="0" w:color="auto"/>
        <w:left w:val="none" w:sz="0" w:space="0" w:color="auto"/>
        <w:bottom w:val="none" w:sz="0" w:space="0" w:color="auto"/>
        <w:right w:val="none" w:sz="0" w:space="0" w:color="auto"/>
      </w:divBdr>
    </w:div>
    <w:div w:id="1276136567">
      <w:bodyDiv w:val="1"/>
      <w:marLeft w:val="0"/>
      <w:marRight w:val="0"/>
      <w:marTop w:val="0"/>
      <w:marBottom w:val="0"/>
      <w:divBdr>
        <w:top w:val="none" w:sz="0" w:space="0" w:color="auto"/>
        <w:left w:val="none" w:sz="0" w:space="0" w:color="auto"/>
        <w:bottom w:val="none" w:sz="0" w:space="0" w:color="auto"/>
        <w:right w:val="none" w:sz="0" w:space="0" w:color="auto"/>
      </w:divBdr>
    </w:div>
    <w:div w:id="1284844215">
      <w:bodyDiv w:val="1"/>
      <w:marLeft w:val="0"/>
      <w:marRight w:val="0"/>
      <w:marTop w:val="0"/>
      <w:marBottom w:val="0"/>
      <w:divBdr>
        <w:top w:val="none" w:sz="0" w:space="0" w:color="auto"/>
        <w:left w:val="none" w:sz="0" w:space="0" w:color="auto"/>
        <w:bottom w:val="none" w:sz="0" w:space="0" w:color="auto"/>
        <w:right w:val="none" w:sz="0" w:space="0" w:color="auto"/>
      </w:divBdr>
      <w:divsChild>
        <w:div w:id="127599077">
          <w:marLeft w:val="1886"/>
          <w:marRight w:val="0"/>
          <w:marTop w:val="100"/>
          <w:marBottom w:val="0"/>
          <w:divBdr>
            <w:top w:val="none" w:sz="0" w:space="0" w:color="auto"/>
            <w:left w:val="none" w:sz="0" w:space="0" w:color="auto"/>
            <w:bottom w:val="none" w:sz="0" w:space="0" w:color="auto"/>
            <w:right w:val="none" w:sz="0" w:space="0" w:color="auto"/>
          </w:divBdr>
        </w:div>
        <w:div w:id="192114678">
          <w:marLeft w:val="1886"/>
          <w:marRight w:val="0"/>
          <w:marTop w:val="100"/>
          <w:marBottom w:val="0"/>
          <w:divBdr>
            <w:top w:val="none" w:sz="0" w:space="0" w:color="auto"/>
            <w:left w:val="none" w:sz="0" w:space="0" w:color="auto"/>
            <w:bottom w:val="none" w:sz="0" w:space="0" w:color="auto"/>
            <w:right w:val="none" w:sz="0" w:space="0" w:color="auto"/>
          </w:divBdr>
        </w:div>
        <w:div w:id="1564178751">
          <w:marLeft w:val="1886"/>
          <w:marRight w:val="0"/>
          <w:marTop w:val="100"/>
          <w:marBottom w:val="0"/>
          <w:divBdr>
            <w:top w:val="none" w:sz="0" w:space="0" w:color="auto"/>
            <w:left w:val="none" w:sz="0" w:space="0" w:color="auto"/>
            <w:bottom w:val="none" w:sz="0" w:space="0" w:color="auto"/>
            <w:right w:val="none" w:sz="0" w:space="0" w:color="auto"/>
          </w:divBdr>
        </w:div>
        <w:div w:id="2051610868">
          <w:marLeft w:val="1886"/>
          <w:marRight w:val="0"/>
          <w:marTop w:val="100"/>
          <w:marBottom w:val="0"/>
          <w:divBdr>
            <w:top w:val="none" w:sz="0" w:space="0" w:color="auto"/>
            <w:left w:val="none" w:sz="0" w:space="0" w:color="auto"/>
            <w:bottom w:val="none" w:sz="0" w:space="0" w:color="auto"/>
            <w:right w:val="none" w:sz="0" w:space="0" w:color="auto"/>
          </w:divBdr>
        </w:div>
      </w:divsChild>
    </w:div>
    <w:div w:id="1309044758">
      <w:bodyDiv w:val="1"/>
      <w:marLeft w:val="0"/>
      <w:marRight w:val="0"/>
      <w:marTop w:val="0"/>
      <w:marBottom w:val="0"/>
      <w:divBdr>
        <w:top w:val="none" w:sz="0" w:space="0" w:color="auto"/>
        <w:left w:val="none" w:sz="0" w:space="0" w:color="auto"/>
        <w:bottom w:val="none" w:sz="0" w:space="0" w:color="auto"/>
        <w:right w:val="none" w:sz="0" w:space="0" w:color="auto"/>
      </w:divBdr>
    </w:div>
    <w:div w:id="1335566402">
      <w:bodyDiv w:val="1"/>
      <w:marLeft w:val="0"/>
      <w:marRight w:val="0"/>
      <w:marTop w:val="0"/>
      <w:marBottom w:val="0"/>
      <w:divBdr>
        <w:top w:val="none" w:sz="0" w:space="0" w:color="auto"/>
        <w:left w:val="none" w:sz="0" w:space="0" w:color="auto"/>
        <w:bottom w:val="none" w:sz="0" w:space="0" w:color="auto"/>
        <w:right w:val="none" w:sz="0" w:space="0" w:color="auto"/>
      </w:divBdr>
    </w:div>
    <w:div w:id="1347055707">
      <w:bodyDiv w:val="1"/>
      <w:marLeft w:val="0"/>
      <w:marRight w:val="0"/>
      <w:marTop w:val="0"/>
      <w:marBottom w:val="0"/>
      <w:divBdr>
        <w:top w:val="none" w:sz="0" w:space="0" w:color="auto"/>
        <w:left w:val="none" w:sz="0" w:space="0" w:color="auto"/>
        <w:bottom w:val="none" w:sz="0" w:space="0" w:color="auto"/>
        <w:right w:val="none" w:sz="0" w:space="0" w:color="auto"/>
      </w:divBdr>
    </w:div>
    <w:div w:id="1379205478">
      <w:bodyDiv w:val="1"/>
      <w:marLeft w:val="0"/>
      <w:marRight w:val="0"/>
      <w:marTop w:val="0"/>
      <w:marBottom w:val="0"/>
      <w:divBdr>
        <w:top w:val="none" w:sz="0" w:space="0" w:color="auto"/>
        <w:left w:val="none" w:sz="0" w:space="0" w:color="auto"/>
        <w:bottom w:val="none" w:sz="0" w:space="0" w:color="auto"/>
        <w:right w:val="none" w:sz="0" w:space="0" w:color="auto"/>
      </w:divBdr>
    </w:div>
    <w:div w:id="1391223092">
      <w:bodyDiv w:val="1"/>
      <w:marLeft w:val="0"/>
      <w:marRight w:val="0"/>
      <w:marTop w:val="0"/>
      <w:marBottom w:val="0"/>
      <w:divBdr>
        <w:top w:val="none" w:sz="0" w:space="0" w:color="auto"/>
        <w:left w:val="none" w:sz="0" w:space="0" w:color="auto"/>
        <w:bottom w:val="none" w:sz="0" w:space="0" w:color="auto"/>
        <w:right w:val="none" w:sz="0" w:space="0" w:color="auto"/>
      </w:divBdr>
    </w:div>
    <w:div w:id="1399786749">
      <w:bodyDiv w:val="1"/>
      <w:marLeft w:val="0"/>
      <w:marRight w:val="0"/>
      <w:marTop w:val="0"/>
      <w:marBottom w:val="0"/>
      <w:divBdr>
        <w:top w:val="none" w:sz="0" w:space="0" w:color="auto"/>
        <w:left w:val="none" w:sz="0" w:space="0" w:color="auto"/>
        <w:bottom w:val="none" w:sz="0" w:space="0" w:color="auto"/>
        <w:right w:val="none" w:sz="0" w:space="0" w:color="auto"/>
      </w:divBdr>
    </w:div>
    <w:div w:id="1416585630">
      <w:bodyDiv w:val="1"/>
      <w:marLeft w:val="0"/>
      <w:marRight w:val="0"/>
      <w:marTop w:val="0"/>
      <w:marBottom w:val="0"/>
      <w:divBdr>
        <w:top w:val="none" w:sz="0" w:space="0" w:color="auto"/>
        <w:left w:val="none" w:sz="0" w:space="0" w:color="auto"/>
        <w:bottom w:val="none" w:sz="0" w:space="0" w:color="auto"/>
        <w:right w:val="none" w:sz="0" w:space="0" w:color="auto"/>
      </w:divBdr>
    </w:div>
    <w:div w:id="1416902456">
      <w:bodyDiv w:val="1"/>
      <w:marLeft w:val="0"/>
      <w:marRight w:val="0"/>
      <w:marTop w:val="0"/>
      <w:marBottom w:val="0"/>
      <w:divBdr>
        <w:top w:val="none" w:sz="0" w:space="0" w:color="auto"/>
        <w:left w:val="none" w:sz="0" w:space="0" w:color="auto"/>
        <w:bottom w:val="none" w:sz="0" w:space="0" w:color="auto"/>
        <w:right w:val="none" w:sz="0" w:space="0" w:color="auto"/>
      </w:divBdr>
    </w:div>
    <w:div w:id="1423257094">
      <w:bodyDiv w:val="1"/>
      <w:marLeft w:val="0"/>
      <w:marRight w:val="0"/>
      <w:marTop w:val="0"/>
      <w:marBottom w:val="0"/>
      <w:divBdr>
        <w:top w:val="none" w:sz="0" w:space="0" w:color="auto"/>
        <w:left w:val="none" w:sz="0" w:space="0" w:color="auto"/>
        <w:bottom w:val="none" w:sz="0" w:space="0" w:color="auto"/>
        <w:right w:val="none" w:sz="0" w:space="0" w:color="auto"/>
      </w:divBdr>
    </w:div>
    <w:div w:id="1433670639">
      <w:bodyDiv w:val="1"/>
      <w:marLeft w:val="0"/>
      <w:marRight w:val="0"/>
      <w:marTop w:val="0"/>
      <w:marBottom w:val="0"/>
      <w:divBdr>
        <w:top w:val="none" w:sz="0" w:space="0" w:color="auto"/>
        <w:left w:val="none" w:sz="0" w:space="0" w:color="auto"/>
        <w:bottom w:val="none" w:sz="0" w:space="0" w:color="auto"/>
        <w:right w:val="none" w:sz="0" w:space="0" w:color="auto"/>
      </w:divBdr>
    </w:div>
    <w:div w:id="1453354518">
      <w:bodyDiv w:val="1"/>
      <w:marLeft w:val="0"/>
      <w:marRight w:val="0"/>
      <w:marTop w:val="0"/>
      <w:marBottom w:val="0"/>
      <w:divBdr>
        <w:top w:val="none" w:sz="0" w:space="0" w:color="auto"/>
        <w:left w:val="none" w:sz="0" w:space="0" w:color="auto"/>
        <w:bottom w:val="none" w:sz="0" w:space="0" w:color="auto"/>
        <w:right w:val="none" w:sz="0" w:space="0" w:color="auto"/>
      </w:divBdr>
    </w:div>
    <w:div w:id="1465584226">
      <w:bodyDiv w:val="1"/>
      <w:marLeft w:val="0"/>
      <w:marRight w:val="0"/>
      <w:marTop w:val="0"/>
      <w:marBottom w:val="0"/>
      <w:divBdr>
        <w:top w:val="none" w:sz="0" w:space="0" w:color="auto"/>
        <w:left w:val="none" w:sz="0" w:space="0" w:color="auto"/>
        <w:bottom w:val="none" w:sz="0" w:space="0" w:color="auto"/>
        <w:right w:val="none" w:sz="0" w:space="0" w:color="auto"/>
      </w:divBdr>
    </w:div>
    <w:div w:id="1470438506">
      <w:bodyDiv w:val="1"/>
      <w:marLeft w:val="0"/>
      <w:marRight w:val="0"/>
      <w:marTop w:val="0"/>
      <w:marBottom w:val="0"/>
      <w:divBdr>
        <w:top w:val="none" w:sz="0" w:space="0" w:color="auto"/>
        <w:left w:val="none" w:sz="0" w:space="0" w:color="auto"/>
        <w:bottom w:val="none" w:sz="0" w:space="0" w:color="auto"/>
        <w:right w:val="none" w:sz="0" w:space="0" w:color="auto"/>
      </w:divBdr>
      <w:divsChild>
        <w:div w:id="1519272677">
          <w:marLeft w:val="0"/>
          <w:marRight w:val="0"/>
          <w:marTop w:val="0"/>
          <w:marBottom w:val="0"/>
          <w:divBdr>
            <w:top w:val="none" w:sz="0" w:space="0" w:color="auto"/>
            <w:left w:val="none" w:sz="0" w:space="0" w:color="auto"/>
            <w:bottom w:val="none" w:sz="0" w:space="0" w:color="auto"/>
            <w:right w:val="none" w:sz="0" w:space="0" w:color="auto"/>
          </w:divBdr>
          <w:divsChild>
            <w:div w:id="5771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4322">
      <w:bodyDiv w:val="1"/>
      <w:marLeft w:val="0"/>
      <w:marRight w:val="0"/>
      <w:marTop w:val="0"/>
      <w:marBottom w:val="0"/>
      <w:divBdr>
        <w:top w:val="none" w:sz="0" w:space="0" w:color="auto"/>
        <w:left w:val="none" w:sz="0" w:space="0" w:color="auto"/>
        <w:bottom w:val="none" w:sz="0" w:space="0" w:color="auto"/>
        <w:right w:val="none" w:sz="0" w:space="0" w:color="auto"/>
      </w:divBdr>
      <w:divsChild>
        <w:div w:id="1890994523">
          <w:marLeft w:val="0"/>
          <w:marRight w:val="0"/>
          <w:marTop w:val="0"/>
          <w:marBottom w:val="0"/>
          <w:divBdr>
            <w:top w:val="none" w:sz="0" w:space="0" w:color="auto"/>
            <w:left w:val="none" w:sz="0" w:space="0" w:color="auto"/>
            <w:bottom w:val="none" w:sz="0" w:space="0" w:color="auto"/>
            <w:right w:val="none" w:sz="0" w:space="0" w:color="auto"/>
          </w:divBdr>
          <w:divsChild>
            <w:div w:id="15915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1105">
      <w:bodyDiv w:val="1"/>
      <w:marLeft w:val="0"/>
      <w:marRight w:val="0"/>
      <w:marTop w:val="0"/>
      <w:marBottom w:val="0"/>
      <w:divBdr>
        <w:top w:val="none" w:sz="0" w:space="0" w:color="auto"/>
        <w:left w:val="none" w:sz="0" w:space="0" w:color="auto"/>
        <w:bottom w:val="none" w:sz="0" w:space="0" w:color="auto"/>
        <w:right w:val="none" w:sz="0" w:space="0" w:color="auto"/>
      </w:divBdr>
    </w:div>
    <w:div w:id="1521355831">
      <w:bodyDiv w:val="1"/>
      <w:marLeft w:val="0"/>
      <w:marRight w:val="0"/>
      <w:marTop w:val="0"/>
      <w:marBottom w:val="0"/>
      <w:divBdr>
        <w:top w:val="none" w:sz="0" w:space="0" w:color="auto"/>
        <w:left w:val="none" w:sz="0" w:space="0" w:color="auto"/>
        <w:bottom w:val="none" w:sz="0" w:space="0" w:color="auto"/>
        <w:right w:val="none" w:sz="0" w:space="0" w:color="auto"/>
      </w:divBdr>
    </w:div>
    <w:div w:id="1543980729">
      <w:bodyDiv w:val="1"/>
      <w:marLeft w:val="0"/>
      <w:marRight w:val="0"/>
      <w:marTop w:val="0"/>
      <w:marBottom w:val="0"/>
      <w:divBdr>
        <w:top w:val="none" w:sz="0" w:space="0" w:color="auto"/>
        <w:left w:val="none" w:sz="0" w:space="0" w:color="auto"/>
        <w:bottom w:val="none" w:sz="0" w:space="0" w:color="auto"/>
        <w:right w:val="none" w:sz="0" w:space="0" w:color="auto"/>
      </w:divBdr>
    </w:div>
    <w:div w:id="1547529456">
      <w:bodyDiv w:val="1"/>
      <w:marLeft w:val="0"/>
      <w:marRight w:val="0"/>
      <w:marTop w:val="0"/>
      <w:marBottom w:val="0"/>
      <w:divBdr>
        <w:top w:val="none" w:sz="0" w:space="0" w:color="auto"/>
        <w:left w:val="none" w:sz="0" w:space="0" w:color="auto"/>
        <w:bottom w:val="none" w:sz="0" w:space="0" w:color="auto"/>
        <w:right w:val="none" w:sz="0" w:space="0" w:color="auto"/>
      </w:divBdr>
      <w:divsChild>
        <w:div w:id="1210922474">
          <w:marLeft w:val="0"/>
          <w:marRight w:val="0"/>
          <w:marTop w:val="0"/>
          <w:marBottom w:val="0"/>
          <w:divBdr>
            <w:top w:val="none" w:sz="0" w:space="0" w:color="auto"/>
            <w:left w:val="none" w:sz="0" w:space="0" w:color="auto"/>
            <w:bottom w:val="none" w:sz="0" w:space="0" w:color="auto"/>
            <w:right w:val="none" w:sz="0" w:space="0" w:color="auto"/>
          </w:divBdr>
        </w:div>
        <w:div w:id="1909801947">
          <w:marLeft w:val="0"/>
          <w:marRight w:val="0"/>
          <w:marTop w:val="0"/>
          <w:marBottom w:val="0"/>
          <w:divBdr>
            <w:top w:val="none" w:sz="0" w:space="0" w:color="auto"/>
            <w:left w:val="none" w:sz="0" w:space="0" w:color="auto"/>
            <w:bottom w:val="none" w:sz="0" w:space="0" w:color="auto"/>
            <w:right w:val="none" w:sz="0" w:space="0" w:color="auto"/>
          </w:divBdr>
        </w:div>
      </w:divsChild>
    </w:div>
    <w:div w:id="1548495220">
      <w:bodyDiv w:val="1"/>
      <w:marLeft w:val="0"/>
      <w:marRight w:val="0"/>
      <w:marTop w:val="0"/>
      <w:marBottom w:val="0"/>
      <w:divBdr>
        <w:top w:val="none" w:sz="0" w:space="0" w:color="auto"/>
        <w:left w:val="none" w:sz="0" w:space="0" w:color="auto"/>
        <w:bottom w:val="none" w:sz="0" w:space="0" w:color="auto"/>
        <w:right w:val="none" w:sz="0" w:space="0" w:color="auto"/>
      </w:divBdr>
    </w:div>
    <w:div w:id="1552304697">
      <w:bodyDiv w:val="1"/>
      <w:marLeft w:val="0"/>
      <w:marRight w:val="0"/>
      <w:marTop w:val="0"/>
      <w:marBottom w:val="0"/>
      <w:divBdr>
        <w:top w:val="none" w:sz="0" w:space="0" w:color="auto"/>
        <w:left w:val="none" w:sz="0" w:space="0" w:color="auto"/>
        <w:bottom w:val="none" w:sz="0" w:space="0" w:color="auto"/>
        <w:right w:val="none" w:sz="0" w:space="0" w:color="auto"/>
      </w:divBdr>
    </w:div>
    <w:div w:id="1617056337">
      <w:bodyDiv w:val="1"/>
      <w:marLeft w:val="0"/>
      <w:marRight w:val="0"/>
      <w:marTop w:val="0"/>
      <w:marBottom w:val="0"/>
      <w:divBdr>
        <w:top w:val="none" w:sz="0" w:space="0" w:color="auto"/>
        <w:left w:val="none" w:sz="0" w:space="0" w:color="auto"/>
        <w:bottom w:val="none" w:sz="0" w:space="0" w:color="auto"/>
        <w:right w:val="none" w:sz="0" w:space="0" w:color="auto"/>
      </w:divBdr>
    </w:div>
    <w:div w:id="1622032448">
      <w:bodyDiv w:val="1"/>
      <w:marLeft w:val="0"/>
      <w:marRight w:val="0"/>
      <w:marTop w:val="0"/>
      <w:marBottom w:val="0"/>
      <w:divBdr>
        <w:top w:val="none" w:sz="0" w:space="0" w:color="auto"/>
        <w:left w:val="none" w:sz="0" w:space="0" w:color="auto"/>
        <w:bottom w:val="none" w:sz="0" w:space="0" w:color="auto"/>
        <w:right w:val="none" w:sz="0" w:space="0" w:color="auto"/>
      </w:divBdr>
    </w:div>
    <w:div w:id="1644845884">
      <w:bodyDiv w:val="1"/>
      <w:marLeft w:val="0"/>
      <w:marRight w:val="0"/>
      <w:marTop w:val="0"/>
      <w:marBottom w:val="0"/>
      <w:divBdr>
        <w:top w:val="none" w:sz="0" w:space="0" w:color="auto"/>
        <w:left w:val="none" w:sz="0" w:space="0" w:color="auto"/>
        <w:bottom w:val="none" w:sz="0" w:space="0" w:color="auto"/>
        <w:right w:val="none" w:sz="0" w:space="0" w:color="auto"/>
      </w:divBdr>
    </w:div>
    <w:div w:id="1660498042">
      <w:bodyDiv w:val="1"/>
      <w:marLeft w:val="0"/>
      <w:marRight w:val="0"/>
      <w:marTop w:val="0"/>
      <w:marBottom w:val="0"/>
      <w:divBdr>
        <w:top w:val="none" w:sz="0" w:space="0" w:color="auto"/>
        <w:left w:val="none" w:sz="0" w:space="0" w:color="auto"/>
        <w:bottom w:val="none" w:sz="0" w:space="0" w:color="auto"/>
        <w:right w:val="none" w:sz="0" w:space="0" w:color="auto"/>
      </w:divBdr>
    </w:div>
    <w:div w:id="1677659104">
      <w:bodyDiv w:val="1"/>
      <w:marLeft w:val="0"/>
      <w:marRight w:val="0"/>
      <w:marTop w:val="0"/>
      <w:marBottom w:val="0"/>
      <w:divBdr>
        <w:top w:val="none" w:sz="0" w:space="0" w:color="auto"/>
        <w:left w:val="none" w:sz="0" w:space="0" w:color="auto"/>
        <w:bottom w:val="none" w:sz="0" w:space="0" w:color="auto"/>
        <w:right w:val="none" w:sz="0" w:space="0" w:color="auto"/>
      </w:divBdr>
      <w:divsChild>
        <w:div w:id="279185775">
          <w:marLeft w:val="446"/>
          <w:marRight w:val="0"/>
          <w:marTop w:val="200"/>
          <w:marBottom w:val="0"/>
          <w:divBdr>
            <w:top w:val="none" w:sz="0" w:space="0" w:color="auto"/>
            <w:left w:val="none" w:sz="0" w:space="0" w:color="auto"/>
            <w:bottom w:val="none" w:sz="0" w:space="0" w:color="auto"/>
            <w:right w:val="none" w:sz="0" w:space="0" w:color="auto"/>
          </w:divBdr>
        </w:div>
      </w:divsChild>
    </w:div>
    <w:div w:id="1707490439">
      <w:bodyDiv w:val="1"/>
      <w:marLeft w:val="0"/>
      <w:marRight w:val="0"/>
      <w:marTop w:val="0"/>
      <w:marBottom w:val="0"/>
      <w:divBdr>
        <w:top w:val="none" w:sz="0" w:space="0" w:color="auto"/>
        <w:left w:val="none" w:sz="0" w:space="0" w:color="auto"/>
        <w:bottom w:val="none" w:sz="0" w:space="0" w:color="auto"/>
        <w:right w:val="none" w:sz="0" w:space="0" w:color="auto"/>
      </w:divBdr>
      <w:divsChild>
        <w:div w:id="1226647958">
          <w:marLeft w:val="446"/>
          <w:marRight w:val="0"/>
          <w:marTop w:val="120"/>
          <w:marBottom w:val="120"/>
          <w:divBdr>
            <w:top w:val="none" w:sz="0" w:space="0" w:color="auto"/>
            <w:left w:val="none" w:sz="0" w:space="0" w:color="auto"/>
            <w:bottom w:val="none" w:sz="0" w:space="0" w:color="auto"/>
            <w:right w:val="none" w:sz="0" w:space="0" w:color="auto"/>
          </w:divBdr>
        </w:div>
      </w:divsChild>
    </w:div>
    <w:div w:id="1737245426">
      <w:bodyDiv w:val="1"/>
      <w:marLeft w:val="0"/>
      <w:marRight w:val="0"/>
      <w:marTop w:val="0"/>
      <w:marBottom w:val="0"/>
      <w:divBdr>
        <w:top w:val="none" w:sz="0" w:space="0" w:color="auto"/>
        <w:left w:val="none" w:sz="0" w:space="0" w:color="auto"/>
        <w:bottom w:val="none" w:sz="0" w:space="0" w:color="auto"/>
        <w:right w:val="none" w:sz="0" w:space="0" w:color="auto"/>
      </w:divBdr>
    </w:div>
    <w:div w:id="1763722145">
      <w:bodyDiv w:val="1"/>
      <w:marLeft w:val="0"/>
      <w:marRight w:val="0"/>
      <w:marTop w:val="0"/>
      <w:marBottom w:val="0"/>
      <w:divBdr>
        <w:top w:val="none" w:sz="0" w:space="0" w:color="auto"/>
        <w:left w:val="none" w:sz="0" w:space="0" w:color="auto"/>
        <w:bottom w:val="none" w:sz="0" w:space="0" w:color="auto"/>
        <w:right w:val="none" w:sz="0" w:space="0" w:color="auto"/>
      </w:divBdr>
    </w:div>
    <w:div w:id="1766922021">
      <w:bodyDiv w:val="1"/>
      <w:marLeft w:val="0"/>
      <w:marRight w:val="0"/>
      <w:marTop w:val="0"/>
      <w:marBottom w:val="0"/>
      <w:divBdr>
        <w:top w:val="none" w:sz="0" w:space="0" w:color="auto"/>
        <w:left w:val="none" w:sz="0" w:space="0" w:color="auto"/>
        <w:bottom w:val="none" w:sz="0" w:space="0" w:color="auto"/>
        <w:right w:val="none" w:sz="0" w:space="0" w:color="auto"/>
      </w:divBdr>
    </w:div>
    <w:div w:id="1787307074">
      <w:bodyDiv w:val="1"/>
      <w:marLeft w:val="0"/>
      <w:marRight w:val="0"/>
      <w:marTop w:val="0"/>
      <w:marBottom w:val="0"/>
      <w:divBdr>
        <w:top w:val="none" w:sz="0" w:space="0" w:color="auto"/>
        <w:left w:val="none" w:sz="0" w:space="0" w:color="auto"/>
        <w:bottom w:val="none" w:sz="0" w:space="0" w:color="auto"/>
        <w:right w:val="none" w:sz="0" w:space="0" w:color="auto"/>
      </w:divBdr>
      <w:divsChild>
        <w:div w:id="817914739">
          <w:marLeft w:val="0"/>
          <w:marRight w:val="0"/>
          <w:marTop w:val="0"/>
          <w:marBottom w:val="0"/>
          <w:divBdr>
            <w:top w:val="none" w:sz="0" w:space="0" w:color="auto"/>
            <w:left w:val="none" w:sz="0" w:space="0" w:color="auto"/>
            <w:bottom w:val="none" w:sz="0" w:space="0" w:color="auto"/>
            <w:right w:val="none" w:sz="0" w:space="0" w:color="auto"/>
          </w:divBdr>
        </w:div>
        <w:div w:id="1427848432">
          <w:marLeft w:val="0"/>
          <w:marRight w:val="0"/>
          <w:marTop w:val="0"/>
          <w:marBottom w:val="0"/>
          <w:divBdr>
            <w:top w:val="none" w:sz="0" w:space="0" w:color="auto"/>
            <w:left w:val="none" w:sz="0" w:space="0" w:color="auto"/>
            <w:bottom w:val="none" w:sz="0" w:space="0" w:color="auto"/>
            <w:right w:val="none" w:sz="0" w:space="0" w:color="auto"/>
          </w:divBdr>
        </w:div>
      </w:divsChild>
    </w:div>
    <w:div w:id="1791361697">
      <w:bodyDiv w:val="1"/>
      <w:marLeft w:val="0"/>
      <w:marRight w:val="0"/>
      <w:marTop w:val="0"/>
      <w:marBottom w:val="0"/>
      <w:divBdr>
        <w:top w:val="none" w:sz="0" w:space="0" w:color="auto"/>
        <w:left w:val="none" w:sz="0" w:space="0" w:color="auto"/>
        <w:bottom w:val="none" w:sz="0" w:space="0" w:color="auto"/>
        <w:right w:val="none" w:sz="0" w:space="0" w:color="auto"/>
      </w:divBdr>
    </w:div>
    <w:div w:id="1821999092">
      <w:bodyDiv w:val="1"/>
      <w:marLeft w:val="0"/>
      <w:marRight w:val="0"/>
      <w:marTop w:val="0"/>
      <w:marBottom w:val="0"/>
      <w:divBdr>
        <w:top w:val="none" w:sz="0" w:space="0" w:color="auto"/>
        <w:left w:val="none" w:sz="0" w:space="0" w:color="auto"/>
        <w:bottom w:val="none" w:sz="0" w:space="0" w:color="auto"/>
        <w:right w:val="none" w:sz="0" w:space="0" w:color="auto"/>
      </w:divBdr>
      <w:divsChild>
        <w:div w:id="339430661">
          <w:marLeft w:val="1152"/>
          <w:marRight w:val="0"/>
          <w:marTop w:val="60"/>
          <w:marBottom w:val="0"/>
          <w:divBdr>
            <w:top w:val="none" w:sz="0" w:space="0" w:color="auto"/>
            <w:left w:val="none" w:sz="0" w:space="0" w:color="auto"/>
            <w:bottom w:val="none" w:sz="0" w:space="0" w:color="auto"/>
            <w:right w:val="none" w:sz="0" w:space="0" w:color="auto"/>
          </w:divBdr>
        </w:div>
        <w:div w:id="674187549">
          <w:marLeft w:val="1152"/>
          <w:marRight w:val="0"/>
          <w:marTop w:val="60"/>
          <w:marBottom w:val="0"/>
          <w:divBdr>
            <w:top w:val="none" w:sz="0" w:space="0" w:color="auto"/>
            <w:left w:val="none" w:sz="0" w:space="0" w:color="auto"/>
            <w:bottom w:val="none" w:sz="0" w:space="0" w:color="auto"/>
            <w:right w:val="none" w:sz="0" w:space="0" w:color="auto"/>
          </w:divBdr>
        </w:div>
        <w:div w:id="966619937">
          <w:marLeft w:val="1152"/>
          <w:marRight w:val="0"/>
          <w:marTop w:val="60"/>
          <w:marBottom w:val="0"/>
          <w:divBdr>
            <w:top w:val="none" w:sz="0" w:space="0" w:color="auto"/>
            <w:left w:val="none" w:sz="0" w:space="0" w:color="auto"/>
            <w:bottom w:val="none" w:sz="0" w:space="0" w:color="auto"/>
            <w:right w:val="none" w:sz="0" w:space="0" w:color="auto"/>
          </w:divBdr>
        </w:div>
        <w:div w:id="1064714397">
          <w:marLeft w:val="1152"/>
          <w:marRight w:val="0"/>
          <w:marTop w:val="60"/>
          <w:marBottom w:val="0"/>
          <w:divBdr>
            <w:top w:val="none" w:sz="0" w:space="0" w:color="auto"/>
            <w:left w:val="none" w:sz="0" w:space="0" w:color="auto"/>
            <w:bottom w:val="none" w:sz="0" w:space="0" w:color="auto"/>
            <w:right w:val="none" w:sz="0" w:space="0" w:color="auto"/>
          </w:divBdr>
        </w:div>
        <w:div w:id="1089694357">
          <w:marLeft w:val="1152"/>
          <w:marRight w:val="0"/>
          <w:marTop w:val="60"/>
          <w:marBottom w:val="0"/>
          <w:divBdr>
            <w:top w:val="none" w:sz="0" w:space="0" w:color="auto"/>
            <w:left w:val="none" w:sz="0" w:space="0" w:color="auto"/>
            <w:bottom w:val="none" w:sz="0" w:space="0" w:color="auto"/>
            <w:right w:val="none" w:sz="0" w:space="0" w:color="auto"/>
          </w:divBdr>
        </w:div>
        <w:div w:id="1224025379">
          <w:marLeft w:val="1152"/>
          <w:marRight w:val="0"/>
          <w:marTop w:val="60"/>
          <w:marBottom w:val="0"/>
          <w:divBdr>
            <w:top w:val="none" w:sz="0" w:space="0" w:color="auto"/>
            <w:left w:val="none" w:sz="0" w:space="0" w:color="auto"/>
            <w:bottom w:val="none" w:sz="0" w:space="0" w:color="auto"/>
            <w:right w:val="none" w:sz="0" w:space="0" w:color="auto"/>
          </w:divBdr>
        </w:div>
        <w:div w:id="1318413514">
          <w:marLeft w:val="1152"/>
          <w:marRight w:val="0"/>
          <w:marTop w:val="60"/>
          <w:marBottom w:val="0"/>
          <w:divBdr>
            <w:top w:val="none" w:sz="0" w:space="0" w:color="auto"/>
            <w:left w:val="none" w:sz="0" w:space="0" w:color="auto"/>
            <w:bottom w:val="none" w:sz="0" w:space="0" w:color="auto"/>
            <w:right w:val="none" w:sz="0" w:space="0" w:color="auto"/>
          </w:divBdr>
        </w:div>
        <w:div w:id="1584948937">
          <w:marLeft w:val="1152"/>
          <w:marRight w:val="0"/>
          <w:marTop w:val="60"/>
          <w:marBottom w:val="0"/>
          <w:divBdr>
            <w:top w:val="none" w:sz="0" w:space="0" w:color="auto"/>
            <w:left w:val="none" w:sz="0" w:space="0" w:color="auto"/>
            <w:bottom w:val="none" w:sz="0" w:space="0" w:color="auto"/>
            <w:right w:val="none" w:sz="0" w:space="0" w:color="auto"/>
          </w:divBdr>
        </w:div>
        <w:div w:id="1763061030">
          <w:marLeft w:val="1152"/>
          <w:marRight w:val="0"/>
          <w:marTop w:val="60"/>
          <w:marBottom w:val="0"/>
          <w:divBdr>
            <w:top w:val="none" w:sz="0" w:space="0" w:color="auto"/>
            <w:left w:val="none" w:sz="0" w:space="0" w:color="auto"/>
            <w:bottom w:val="none" w:sz="0" w:space="0" w:color="auto"/>
            <w:right w:val="none" w:sz="0" w:space="0" w:color="auto"/>
          </w:divBdr>
        </w:div>
        <w:div w:id="1809587984">
          <w:marLeft w:val="1152"/>
          <w:marRight w:val="0"/>
          <w:marTop w:val="60"/>
          <w:marBottom w:val="0"/>
          <w:divBdr>
            <w:top w:val="none" w:sz="0" w:space="0" w:color="auto"/>
            <w:left w:val="none" w:sz="0" w:space="0" w:color="auto"/>
            <w:bottom w:val="none" w:sz="0" w:space="0" w:color="auto"/>
            <w:right w:val="none" w:sz="0" w:space="0" w:color="auto"/>
          </w:divBdr>
        </w:div>
        <w:div w:id="1859736361">
          <w:marLeft w:val="1152"/>
          <w:marRight w:val="0"/>
          <w:marTop w:val="60"/>
          <w:marBottom w:val="0"/>
          <w:divBdr>
            <w:top w:val="none" w:sz="0" w:space="0" w:color="auto"/>
            <w:left w:val="none" w:sz="0" w:space="0" w:color="auto"/>
            <w:bottom w:val="none" w:sz="0" w:space="0" w:color="auto"/>
            <w:right w:val="none" w:sz="0" w:space="0" w:color="auto"/>
          </w:divBdr>
        </w:div>
      </w:divsChild>
    </w:div>
    <w:div w:id="1830901843">
      <w:bodyDiv w:val="1"/>
      <w:marLeft w:val="0"/>
      <w:marRight w:val="0"/>
      <w:marTop w:val="0"/>
      <w:marBottom w:val="0"/>
      <w:divBdr>
        <w:top w:val="none" w:sz="0" w:space="0" w:color="auto"/>
        <w:left w:val="none" w:sz="0" w:space="0" w:color="auto"/>
        <w:bottom w:val="none" w:sz="0" w:space="0" w:color="auto"/>
        <w:right w:val="none" w:sz="0" w:space="0" w:color="auto"/>
      </w:divBdr>
    </w:div>
    <w:div w:id="1865972038">
      <w:bodyDiv w:val="1"/>
      <w:marLeft w:val="0"/>
      <w:marRight w:val="0"/>
      <w:marTop w:val="0"/>
      <w:marBottom w:val="0"/>
      <w:divBdr>
        <w:top w:val="none" w:sz="0" w:space="0" w:color="auto"/>
        <w:left w:val="none" w:sz="0" w:space="0" w:color="auto"/>
        <w:bottom w:val="none" w:sz="0" w:space="0" w:color="auto"/>
        <w:right w:val="none" w:sz="0" w:space="0" w:color="auto"/>
      </w:divBdr>
      <w:divsChild>
        <w:div w:id="8066117">
          <w:marLeft w:val="1166"/>
          <w:marRight w:val="0"/>
          <w:marTop w:val="100"/>
          <w:marBottom w:val="0"/>
          <w:divBdr>
            <w:top w:val="none" w:sz="0" w:space="0" w:color="auto"/>
            <w:left w:val="none" w:sz="0" w:space="0" w:color="auto"/>
            <w:bottom w:val="none" w:sz="0" w:space="0" w:color="auto"/>
            <w:right w:val="none" w:sz="0" w:space="0" w:color="auto"/>
          </w:divBdr>
        </w:div>
        <w:div w:id="249200388">
          <w:marLeft w:val="1166"/>
          <w:marRight w:val="0"/>
          <w:marTop w:val="100"/>
          <w:marBottom w:val="0"/>
          <w:divBdr>
            <w:top w:val="none" w:sz="0" w:space="0" w:color="auto"/>
            <w:left w:val="none" w:sz="0" w:space="0" w:color="auto"/>
            <w:bottom w:val="none" w:sz="0" w:space="0" w:color="auto"/>
            <w:right w:val="none" w:sz="0" w:space="0" w:color="auto"/>
          </w:divBdr>
        </w:div>
        <w:div w:id="280259428">
          <w:marLeft w:val="1886"/>
          <w:marRight w:val="0"/>
          <w:marTop w:val="100"/>
          <w:marBottom w:val="0"/>
          <w:divBdr>
            <w:top w:val="none" w:sz="0" w:space="0" w:color="auto"/>
            <w:left w:val="none" w:sz="0" w:space="0" w:color="auto"/>
            <w:bottom w:val="none" w:sz="0" w:space="0" w:color="auto"/>
            <w:right w:val="none" w:sz="0" w:space="0" w:color="auto"/>
          </w:divBdr>
        </w:div>
        <w:div w:id="561717670">
          <w:marLeft w:val="1886"/>
          <w:marRight w:val="0"/>
          <w:marTop w:val="100"/>
          <w:marBottom w:val="0"/>
          <w:divBdr>
            <w:top w:val="none" w:sz="0" w:space="0" w:color="auto"/>
            <w:left w:val="none" w:sz="0" w:space="0" w:color="auto"/>
            <w:bottom w:val="none" w:sz="0" w:space="0" w:color="auto"/>
            <w:right w:val="none" w:sz="0" w:space="0" w:color="auto"/>
          </w:divBdr>
        </w:div>
        <w:div w:id="786236149">
          <w:marLeft w:val="1886"/>
          <w:marRight w:val="0"/>
          <w:marTop w:val="100"/>
          <w:marBottom w:val="0"/>
          <w:divBdr>
            <w:top w:val="none" w:sz="0" w:space="0" w:color="auto"/>
            <w:left w:val="none" w:sz="0" w:space="0" w:color="auto"/>
            <w:bottom w:val="none" w:sz="0" w:space="0" w:color="auto"/>
            <w:right w:val="none" w:sz="0" w:space="0" w:color="auto"/>
          </w:divBdr>
        </w:div>
        <w:div w:id="1284385726">
          <w:marLeft w:val="1886"/>
          <w:marRight w:val="0"/>
          <w:marTop w:val="100"/>
          <w:marBottom w:val="0"/>
          <w:divBdr>
            <w:top w:val="none" w:sz="0" w:space="0" w:color="auto"/>
            <w:left w:val="none" w:sz="0" w:space="0" w:color="auto"/>
            <w:bottom w:val="none" w:sz="0" w:space="0" w:color="auto"/>
            <w:right w:val="none" w:sz="0" w:space="0" w:color="auto"/>
          </w:divBdr>
        </w:div>
        <w:div w:id="1634367853">
          <w:marLeft w:val="1886"/>
          <w:marRight w:val="0"/>
          <w:marTop w:val="100"/>
          <w:marBottom w:val="0"/>
          <w:divBdr>
            <w:top w:val="none" w:sz="0" w:space="0" w:color="auto"/>
            <w:left w:val="none" w:sz="0" w:space="0" w:color="auto"/>
            <w:bottom w:val="none" w:sz="0" w:space="0" w:color="auto"/>
            <w:right w:val="none" w:sz="0" w:space="0" w:color="auto"/>
          </w:divBdr>
        </w:div>
        <w:div w:id="1635913002">
          <w:marLeft w:val="1886"/>
          <w:marRight w:val="0"/>
          <w:marTop w:val="100"/>
          <w:marBottom w:val="0"/>
          <w:divBdr>
            <w:top w:val="none" w:sz="0" w:space="0" w:color="auto"/>
            <w:left w:val="none" w:sz="0" w:space="0" w:color="auto"/>
            <w:bottom w:val="none" w:sz="0" w:space="0" w:color="auto"/>
            <w:right w:val="none" w:sz="0" w:space="0" w:color="auto"/>
          </w:divBdr>
        </w:div>
        <w:div w:id="1671447618">
          <w:marLeft w:val="1886"/>
          <w:marRight w:val="0"/>
          <w:marTop w:val="100"/>
          <w:marBottom w:val="0"/>
          <w:divBdr>
            <w:top w:val="none" w:sz="0" w:space="0" w:color="auto"/>
            <w:left w:val="none" w:sz="0" w:space="0" w:color="auto"/>
            <w:bottom w:val="none" w:sz="0" w:space="0" w:color="auto"/>
            <w:right w:val="none" w:sz="0" w:space="0" w:color="auto"/>
          </w:divBdr>
        </w:div>
      </w:divsChild>
    </w:div>
    <w:div w:id="1867282515">
      <w:bodyDiv w:val="1"/>
      <w:marLeft w:val="0"/>
      <w:marRight w:val="0"/>
      <w:marTop w:val="0"/>
      <w:marBottom w:val="0"/>
      <w:divBdr>
        <w:top w:val="none" w:sz="0" w:space="0" w:color="auto"/>
        <w:left w:val="none" w:sz="0" w:space="0" w:color="auto"/>
        <w:bottom w:val="none" w:sz="0" w:space="0" w:color="auto"/>
        <w:right w:val="none" w:sz="0" w:space="0" w:color="auto"/>
      </w:divBdr>
    </w:div>
    <w:div w:id="1889952324">
      <w:bodyDiv w:val="1"/>
      <w:marLeft w:val="0"/>
      <w:marRight w:val="0"/>
      <w:marTop w:val="0"/>
      <w:marBottom w:val="0"/>
      <w:divBdr>
        <w:top w:val="none" w:sz="0" w:space="0" w:color="auto"/>
        <w:left w:val="none" w:sz="0" w:space="0" w:color="auto"/>
        <w:bottom w:val="none" w:sz="0" w:space="0" w:color="auto"/>
        <w:right w:val="none" w:sz="0" w:space="0" w:color="auto"/>
      </w:divBdr>
    </w:div>
    <w:div w:id="1892768159">
      <w:bodyDiv w:val="1"/>
      <w:marLeft w:val="0"/>
      <w:marRight w:val="0"/>
      <w:marTop w:val="0"/>
      <w:marBottom w:val="0"/>
      <w:divBdr>
        <w:top w:val="none" w:sz="0" w:space="0" w:color="auto"/>
        <w:left w:val="none" w:sz="0" w:space="0" w:color="auto"/>
        <w:bottom w:val="none" w:sz="0" w:space="0" w:color="auto"/>
        <w:right w:val="none" w:sz="0" w:space="0" w:color="auto"/>
      </w:divBdr>
      <w:divsChild>
        <w:div w:id="440957167">
          <w:marLeft w:val="446"/>
          <w:marRight w:val="0"/>
          <w:marTop w:val="200"/>
          <w:marBottom w:val="0"/>
          <w:divBdr>
            <w:top w:val="none" w:sz="0" w:space="0" w:color="auto"/>
            <w:left w:val="none" w:sz="0" w:space="0" w:color="auto"/>
            <w:bottom w:val="none" w:sz="0" w:space="0" w:color="auto"/>
            <w:right w:val="none" w:sz="0" w:space="0" w:color="auto"/>
          </w:divBdr>
        </w:div>
        <w:div w:id="524485155">
          <w:marLeft w:val="446"/>
          <w:marRight w:val="0"/>
          <w:marTop w:val="200"/>
          <w:marBottom w:val="0"/>
          <w:divBdr>
            <w:top w:val="none" w:sz="0" w:space="0" w:color="auto"/>
            <w:left w:val="none" w:sz="0" w:space="0" w:color="auto"/>
            <w:bottom w:val="none" w:sz="0" w:space="0" w:color="auto"/>
            <w:right w:val="none" w:sz="0" w:space="0" w:color="auto"/>
          </w:divBdr>
        </w:div>
        <w:div w:id="632907222">
          <w:marLeft w:val="446"/>
          <w:marRight w:val="0"/>
          <w:marTop w:val="200"/>
          <w:marBottom w:val="0"/>
          <w:divBdr>
            <w:top w:val="none" w:sz="0" w:space="0" w:color="auto"/>
            <w:left w:val="none" w:sz="0" w:space="0" w:color="auto"/>
            <w:bottom w:val="none" w:sz="0" w:space="0" w:color="auto"/>
            <w:right w:val="none" w:sz="0" w:space="0" w:color="auto"/>
          </w:divBdr>
        </w:div>
        <w:div w:id="796946224">
          <w:marLeft w:val="446"/>
          <w:marRight w:val="0"/>
          <w:marTop w:val="200"/>
          <w:marBottom w:val="0"/>
          <w:divBdr>
            <w:top w:val="none" w:sz="0" w:space="0" w:color="auto"/>
            <w:left w:val="none" w:sz="0" w:space="0" w:color="auto"/>
            <w:bottom w:val="none" w:sz="0" w:space="0" w:color="auto"/>
            <w:right w:val="none" w:sz="0" w:space="0" w:color="auto"/>
          </w:divBdr>
        </w:div>
        <w:div w:id="1320110294">
          <w:marLeft w:val="446"/>
          <w:marRight w:val="0"/>
          <w:marTop w:val="200"/>
          <w:marBottom w:val="0"/>
          <w:divBdr>
            <w:top w:val="none" w:sz="0" w:space="0" w:color="auto"/>
            <w:left w:val="none" w:sz="0" w:space="0" w:color="auto"/>
            <w:bottom w:val="none" w:sz="0" w:space="0" w:color="auto"/>
            <w:right w:val="none" w:sz="0" w:space="0" w:color="auto"/>
          </w:divBdr>
        </w:div>
      </w:divsChild>
    </w:div>
    <w:div w:id="1906643131">
      <w:bodyDiv w:val="1"/>
      <w:marLeft w:val="0"/>
      <w:marRight w:val="0"/>
      <w:marTop w:val="0"/>
      <w:marBottom w:val="0"/>
      <w:divBdr>
        <w:top w:val="none" w:sz="0" w:space="0" w:color="auto"/>
        <w:left w:val="none" w:sz="0" w:space="0" w:color="auto"/>
        <w:bottom w:val="none" w:sz="0" w:space="0" w:color="auto"/>
        <w:right w:val="none" w:sz="0" w:space="0" w:color="auto"/>
      </w:divBdr>
      <w:divsChild>
        <w:div w:id="3241197">
          <w:marLeft w:val="1166"/>
          <w:marRight w:val="0"/>
          <w:marTop w:val="120"/>
          <w:marBottom w:val="120"/>
          <w:divBdr>
            <w:top w:val="none" w:sz="0" w:space="0" w:color="auto"/>
            <w:left w:val="none" w:sz="0" w:space="0" w:color="auto"/>
            <w:bottom w:val="none" w:sz="0" w:space="0" w:color="auto"/>
            <w:right w:val="none" w:sz="0" w:space="0" w:color="auto"/>
          </w:divBdr>
        </w:div>
        <w:div w:id="59599114">
          <w:marLeft w:val="1166"/>
          <w:marRight w:val="0"/>
          <w:marTop w:val="120"/>
          <w:marBottom w:val="120"/>
          <w:divBdr>
            <w:top w:val="none" w:sz="0" w:space="0" w:color="auto"/>
            <w:left w:val="none" w:sz="0" w:space="0" w:color="auto"/>
            <w:bottom w:val="none" w:sz="0" w:space="0" w:color="auto"/>
            <w:right w:val="none" w:sz="0" w:space="0" w:color="auto"/>
          </w:divBdr>
        </w:div>
        <w:div w:id="922563851">
          <w:marLeft w:val="446"/>
          <w:marRight w:val="0"/>
          <w:marTop w:val="120"/>
          <w:marBottom w:val="120"/>
          <w:divBdr>
            <w:top w:val="none" w:sz="0" w:space="0" w:color="auto"/>
            <w:left w:val="none" w:sz="0" w:space="0" w:color="auto"/>
            <w:bottom w:val="none" w:sz="0" w:space="0" w:color="auto"/>
            <w:right w:val="none" w:sz="0" w:space="0" w:color="auto"/>
          </w:divBdr>
        </w:div>
        <w:div w:id="1572501608">
          <w:marLeft w:val="1166"/>
          <w:marRight w:val="0"/>
          <w:marTop w:val="120"/>
          <w:marBottom w:val="120"/>
          <w:divBdr>
            <w:top w:val="none" w:sz="0" w:space="0" w:color="auto"/>
            <w:left w:val="none" w:sz="0" w:space="0" w:color="auto"/>
            <w:bottom w:val="none" w:sz="0" w:space="0" w:color="auto"/>
            <w:right w:val="none" w:sz="0" w:space="0" w:color="auto"/>
          </w:divBdr>
        </w:div>
        <w:div w:id="1713269367">
          <w:marLeft w:val="446"/>
          <w:marRight w:val="0"/>
          <w:marTop w:val="120"/>
          <w:marBottom w:val="120"/>
          <w:divBdr>
            <w:top w:val="none" w:sz="0" w:space="0" w:color="auto"/>
            <w:left w:val="none" w:sz="0" w:space="0" w:color="auto"/>
            <w:bottom w:val="none" w:sz="0" w:space="0" w:color="auto"/>
            <w:right w:val="none" w:sz="0" w:space="0" w:color="auto"/>
          </w:divBdr>
        </w:div>
        <w:div w:id="1851405841">
          <w:marLeft w:val="446"/>
          <w:marRight w:val="0"/>
          <w:marTop w:val="120"/>
          <w:marBottom w:val="120"/>
          <w:divBdr>
            <w:top w:val="none" w:sz="0" w:space="0" w:color="auto"/>
            <w:left w:val="none" w:sz="0" w:space="0" w:color="auto"/>
            <w:bottom w:val="none" w:sz="0" w:space="0" w:color="auto"/>
            <w:right w:val="none" w:sz="0" w:space="0" w:color="auto"/>
          </w:divBdr>
        </w:div>
      </w:divsChild>
    </w:div>
    <w:div w:id="1907718937">
      <w:bodyDiv w:val="1"/>
      <w:marLeft w:val="0"/>
      <w:marRight w:val="0"/>
      <w:marTop w:val="0"/>
      <w:marBottom w:val="0"/>
      <w:divBdr>
        <w:top w:val="none" w:sz="0" w:space="0" w:color="auto"/>
        <w:left w:val="none" w:sz="0" w:space="0" w:color="auto"/>
        <w:bottom w:val="none" w:sz="0" w:space="0" w:color="auto"/>
        <w:right w:val="none" w:sz="0" w:space="0" w:color="auto"/>
      </w:divBdr>
      <w:divsChild>
        <w:div w:id="189494014">
          <w:marLeft w:val="0"/>
          <w:marRight w:val="0"/>
          <w:marTop w:val="0"/>
          <w:marBottom w:val="0"/>
          <w:divBdr>
            <w:top w:val="none" w:sz="0" w:space="0" w:color="auto"/>
            <w:left w:val="none" w:sz="0" w:space="0" w:color="auto"/>
            <w:bottom w:val="none" w:sz="0" w:space="0" w:color="auto"/>
            <w:right w:val="none" w:sz="0" w:space="0" w:color="auto"/>
          </w:divBdr>
        </w:div>
        <w:div w:id="924609323">
          <w:marLeft w:val="0"/>
          <w:marRight w:val="0"/>
          <w:marTop w:val="0"/>
          <w:marBottom w:val="0"/>
          <w:divBdr>
            <w:top w:val="none" w:sz="0" w:space="0" w:color="auto"/>
            <w:left w:val="none" w:sz="0" w:space="0" w:color="auto"/>
            <w:bottom w:val="none" w:sz="0" w:space="0" w:color="auto"/>
            <w:right w:val="none" w:sz="0" w:space="0" w:color="auto"/>
          </w:divBdr>
        </w:div>
      </w:divsChild>
    </w:div>
    <w:div w:id="1919628761">
      <w:bodyDiv w:val="1"/>
      <w:marLeft w:val="0"/>
      <w:marRight w:val="0"/>
      <w:marTop w:val="0"/>
      <w:marBottom w:val="0"/>
      <w:divBdr>
        <w:top w:val="none" w:sz="0" w:space="0" w:color="auto"/>
        <w:left w:val="none" w:sz="0" w:space="0" w:color="auto"/>
        <w:bottom w:val="none" w:sz="0" w:space="0" w:color="auto"/>
        <w:right w:val="none" w:sz="0" w:space="0" w:color="auto"/>
      </w:divBdr>
    </w:div>
    <w:div w:id="1953585056">
      <w:bodyDiv w:val="1"/>
      <w:marLeft w:val="0"/>
      <w:marRight w:val="0"/>
      <w:marTop w:val="0"/>
      <w:marBottom w:val="0"/>
      <w:divBdr>
        <w:top w:val="none" w:sz="0" w:space="0" w:color="auto"/>
        <w:left w:val="none" w:sz="0" w:space="0" w:color="auto"/>
        <w:bottom w:val="none" w:sz="0" w:space="0" w:color="auto"/>
        <w:right w:val="none" w:sz="0" w:space="0" w:color="auto"/>
      </w:divBdr>
    </w:div>
    <w:div w:id="1972830223">
      <w:bodyDiv w:val="1"/>
      <w:marLeft w:val="0"/>
      <w:marRight w:val="0"/>
      <w:marTop w:val="0"/>
      <w:marBottom w:val="0"/>
      <w:divBdr>
        <w:top w:val="none" w:sz="0" w:space="0" w:color="auto"/>
        <w:left w:val="none" w:sz="0" w:space="0" w:color="auto"/>
        <w:bottom w:val="none" w:sz="0" w:space="0" w:color="auto"/>
        <w:right w:val="none" w:sz="0" w:space="0" w:color="auto"/>
      </w:divBdr>
    </w:div>
    <w:div w:id="1994866050">
      <w:bodyDiv w:val="1"/>
      <w:marLeft w:val="0"/>
      <w:marRight w:val="0"/>
      <w:marTop w:val="0"/>
      <w:marBottom w:val="0"/>
      <w:divBdr>
        <w:top w:val="none" w:sz="0" w:space="0" w:color="auto"/>
        <w:left w:val="none" w:sz="0" w:space="0" w:color="auto"/>
        <w:bottom w:val="none" w:sz="0" w:space="0" w:color="auto"/>
        <w:right w:val="none" w:sz="0" w:space="0" w:color="auto"/>
      </w:divBdr>
    </w:div>
    <w:div w:id="2005548914">
      <w:bodyDiv w:val="1"/>
      <w:marLeft w:val="0"/>
      <w:marRight w:val="0"/>
      <w:marTop w:val="0"/>
      <w:marBottom w:val="0"/>
      <w:divBdr>
        <w:top w:val="none" w:sz="0" w:space="0" w:color="auto"/>
        <w:left w:val="none" w:sz="0" w:space="0" w:color="auto"/>
        <w:bottom w:val="none" w:sz="0" w:space="0" w:color="auto"/>
        <w:right w:val="none" w:sz="0" w:space="0" w:color="auto"/>
      </w:divBdr>
    </w:div>
    <w:div w:id="2012029933">
      <w:bodyDiv w:val="1"/>
      <w:marLeft w:val="0"/>
      <w:marRight w:val="0"/>
      <w:marTop w:val="0"/>
      <w:marBottom w:val="0"/>
      <w:divBdr>
        <w:top w:val="none" w:sz="0" w:space="0" w:color="auto"/>
        <w:left w:val="none" w:sz="0" w:space="0" w:color="auto"/>
        <w:bottom w:val="none" w:sz="0" w:space="0" w:color="auto"/>
        <w:right w:val="none" w:sz="0" w:space="0" w:color="auto"/>
      </w:divBdr>
    </w:div>
    <w:div w:id="2024935141">
      <w:bodyDiv w:val="1"/>
      <w:marLeft w:val="0"/>
      <w:marRight w:val="0"/>
      <w:marTop w:val="0"/>
      <w:marBottom w:val="0"/>
      <w:divBdr>
        <w:top w:val="none" w:sz="0" w:space="0" w:color="auto"/>
        <w:left w:val="none" w:sz="0" w:space="0" w:color="auto"/>
        <w:bottom w:val="none" w:sz="0" w:space="0" w:color="auto"/>
        <w:right w:val="none" w:sz="0" w:space="0" w:color="auto"/>
      </w:divBdr>
    </w:div>
    <w:div w:id="2037266120">
      <w:bodyDiv w:val="1"/>
      <w:marLeft w:val="0"/>
      <w:marRight w:val="0"/>
      <w:marTop w:val="0"/>
      <w:marBottom w:val="0"/>
      <w:divBdr>
        <w:top w:val="none" w:sz="0" w:space="0" w:color="auto"/>
        <w:left w:val="none" w:sz="0" w:space="0" w:color="auto"/>
        <w:bottom w:val="none" w:sz="0" w:space="0" w:color="auto"/>
        <w:right w:val="none" w:sz="0" w:space="0" w:color="auto"/>
      </w:divBdr>
    </w:div>
    <w:div w:id="2062056196">
      <w:bodyDiv w:val="1"/>
      <w:marLeft w:val="0"/>
      <w:marRight w:val="0"/>
      <w:marTop w:val="0"/>
      <w:marBottom w:val="0"/>
      <w:divBdr>
        <w:top w:val="none" w:sz="0" w:space="0" w:color="auto"/>
        <w:left w:val="none" w:sz="0" w:space="0" w:color="auto"/>
        <w:bottom w:val="none" w:sz="0" w:space="0" w:color="auto"/>
        <w:right w:val="none" w:sz="0" w:space="0" w:color="auto"/>
      </w:divBdr>
    </w:div>
    <w:div w:id="2066758005">
      <w:bodyDiv w:val="1"/>
      <w:marLeft w:val="0"/>
      <w:marRight w:val="0"/>
      <w:marTop w:val="0"/>
      <w:marBottom w:val="0"/>
      <w:divBdr>
        <w:top w:val="none" w:sz="0" w:space="0" w:color="auto"/>
        <w:left w:val="none" w:sz="0" w:space="0" w:color="auto"/>
        <w:bottom w:val="none" w:sz="0" w:space="0" w:color="auto"/>
        <w:right w:val="none" w:sz="0" w:space="0" w:color="auto"/>
      </w:divBdr>
    </w:div>
    <w:div w:id="2083404441">
      <w:bodyDiv w:val="1"/>
      <w:marLeft w:val="0"/>
      <w:marRight w:val="0"/>
      <w:marTop w:val="0"/>
      <w:marBottom w:val="0"/>
      <w:divBdr>
        <w:top w:val="none" w:sz="0" w:space="0" w:color="auto"/>
        <w:left w:val="none" w:sz="0" w:space="0" w:color="auto"/>
        <w:bottom w:val="none" w:sz="0" w:space="0" w:color="auto"/>
        <w:right w:val="none" w:sz="0" w:space="0" w:color="auto"/>
      </w:divBdr>
    </w:div>
    <w:div w:id="2101825934">
      <w:bodyDiv w:val="1"/>
      <w:marLeft w:val="0"/>
      <w:marRight w:val="0"/>
      <w:marTop w:val="0"/>
      <w:marBottom w:val="0"/>
      <w:divBdr>
        <w:top w:val="none" w:sz="0" w:space="0" w:color="auto"/>
        <w:left w:val="none" w:sz="0" w:space="0" w:color="auto"/>
        <w:bottom w:val="none" w:sz="0" w:space="0" w:color="auto"/>
        <w:right w:val="none" w:sz="0" w:space="0" w:color="auto"/>
      </w:divBdr>
    </w:div>
    <w:div w:id="2107379819">
      <w:bodyDiv w:val="1"/>
      <w:marLeft w:val="0"/>
      <w:marRight w:val="0"/>
      <w:marTop w:val="0"/>
      <w:marBottom w:val="0"/>
      <w:divBdr>
        <w:top w:val="none" w:sz="0" w:space="0" w:color="auto"/>
        <w:left w:val="none" w:sz="0" w:space="0" w:color="auto"/>
        <w:bottom w:val="none" w:sz="0" w:space="0" w:color="auto"/>
        <w:right w:val="none" w:sz="0" w:space="0" w:color="auto"/>
      </w:divBdr>
    </w:div>
    <w:div w:id="2129928998">
      <w:bodyDiv w:val="1"/>
      <w:marLeft w:val="0"/>
      <w:marRight w:val="0"/>
      <w:marTop w:val="0"/>
      <w:marBottom w:val="0"/>
      <w:divBdr>
        <w:top w:val="none" w:sz="0" w:space="0" w:color="auto"/>
        <w:left w:val="none" w:sz="0" w:space="0" w:color="auto"/>
        <w:bottom w:val="none" w:sz="0" w:space="0" w:color="auto"/>
        <w:right w:val="none" w:sz="0" w:space="0" w:color="auto"/>
      </w:divBdr>
    </w:div>
    <w:div w:id="2142651854">
      <w:bodyDiv w:val="1"/>
      <w:marLeft w:val="0"/>
      <w:marRight w:val="0"/>
      <w:marTop w:val="0"/>
      <w:marBottom w:val="0"/>
      <w:divBdr>
        <w:top w:val="none" w:sz="0" w:space="0" w:color="auto"/>
        <w:left w:val="none" w:sz="0" w:space="0" w:color="auto"/>
        <w:bottom w:val="none" w:sz="0" w:space="0" w:color="auto"/>
        <w:right w:val="none" w:sz="0" w:space="0" w:color="auto"/>
      </w:divBdr>
      <w:divsChild>
        <w:div w:id="451748811">
          <w:marLeft w:val="0"/>
          <w:marRight w:val="0"/>
          <w:marTop w:val="0"/>
          <w:marBottom w:val="0"/>
          <w:divBdr>
            <w:top w:val="none" w:sz="0" w:space="0" w:color="auto"/>
            <w:left w:val="none" w:sz="0" w:space="0" w:color="auto"/>
            <w:bottom w:val="none" w:sz="0" w:space="0" w:color="auto"/>
            <w:right w:val="none" w:sz="0" w:space="0" w:color="auto"/>
          </w:divBdr>
          <w:divsChild>
            <w:div w:id="18027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TS">
      <a:dk1>
        <a:sysClr val="windowText" lastClr="000000"/>
      </a:dk1>
      <a:lt1>
        <a:sysClr val="window" lastClr="FFFFFF"/>
      </a:lt1>
      <a:dk2>
        <a:srgbClr val="B2B2B2"/>
      </a:dk2>
      <a:lt2>
        <a:srgbClr val="F2F2F2"/>
      </a:lt2>
      <a:accent1>
        <a:srgbClr val="0F4BEB"/>
      </a:accent1>
      <a:accent2>
        <a:srgbClr val="FF2305"/>
      </a:accent2>
      <a:accent3>
        <a:srgbClr val="49C0E2"/>
      </a:accent3>
      <a:accent4>
        <a:srgbClr val="068D38"/>
      </a:accent4>
      <a:accent5>
        <a:srgbClr val="AECA0C"/>
      </a:accent5>
      <a:accent6>
        <a:srgbClr val="6E237F"/>
      </a:accent6>
      <a:hlink>
        <a:srgbClr val="0F4BEB"/>
      </a:hlink>
      <a:folHlink>
        <a:srgbClr val="0F4BE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920aa1-7832-453e-a147-98c77996387c">
      <Terms xmlns="http://schemas.microsoft.com/office/infopath/2007/PartnerControls"/>
    </lcf76f155ced4ddcb4097134ff3c332f>
    <TaxCatchAll xmlns="c4876c76-5897-4d5d-ac80-954d0599e1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6" ma:contentTypeDescription="Create a new document." ma:contentTypeScope="" ma:versionID="3b368dc8a2b8b31f5f834a0327a44a56">
  <xsd:schema xmlns:xsd="http://www.w3.org/2001/XMLSchema" xmlns:xs="http://www.w3.org/2001/XMLSchema" xmlns:p="http://schemas.microsoft.com/office/2006/metadata/properties" xmlns:ns2="c4876c76-5897-4d5d-ac80-954d0599e137" xmlns:ns3="01920aa1-7832-453e-a147-98c77996387c" targetNamespace="http://schemas.microsoft.com/office/2006/metadata/properties" ma:root="true" ma:fieldsID="e67780a3b9c0d6ec2d453ca394bc367e" ns2:_="" ns3:_="">
    <xsd:import namespace="c4876c76-5897-4d5d-ac80-954d0599e137"/>
    <xsd:import namespace="01920aa1-7832-453e-a147-98c7799638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4fb71-3d31-424b-8837-24a0ba3e9c61}"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6E23C3-797F-4F76-8A7C-6B112D33A5A0}">
  <ds:schemaRefs>
    <ds:schemaRef ds:uri="http://schemas.microsoft.com/office/2006/metadata/properties"/>
    <ds:schemaRef ds:uri="http://schemas.microsoft.com/office/infopath/2007/PartnerControls"/>
    <ds:schemaRef ds:uri="01920aa1-7832-453e-a147-98c77996387c"/>
    <ds:schemaRef ds:uri="c4876c76-5897-4d5d-ac80-954d0599e137"/>
  </ds:schemaRefs>
</ds:datastoreItem>
</file>

<file path=customXml/itemProps3.xml><?xml version="1.0" encoding="utf-8"?>
<ds:datastoreItem xmlns:ds="http://schemas.openxmlformats.org/officeDocument/2006/customXml" ds:itemID="{40CD72FE-DB11-4755-B396-AD046209B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6c76-5897-4d5d-ac80-954d0599e137"/>
    <ds:schemaRef ds:uri="01920aa1-7832-453e-a147-98c77996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E895D-229D-4FF1-A6E6-CF1662BE289F}">
  <ds:schemaRefs>
    <ds:schemaRef ds:uri="http://schemas.openxmlformats.org/officeDocument/2006/bibliography"/>
  </ds:schemaRefs>
</ds:datastoreItem>
</file>

<file path=customXml/itemProps5.xml><?xml version="1.0" encoding="utf-8"?>
<ds:datastoreItem xmlns:ds="http://schemas.openxmlformats.org/officeDocument/2006/customXml" ds:itemID="{13EB972B-D4B4-4BC7-BC1A-176861304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15797</Words>
  <Characters>90046</Characters>
  <Application>Microsoft Office Word</Application>
  <DocSecurity>0</DocSecurity>
  <Lines>750</Lines>
  <Paragraphs>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105632</CharactersWithSpaces>
  <SharedDoc>false</SharedDoc>
  <HLinks>
    <vt:vector size="594" baseType="variant">
      <vt:variant>
        <vt:i4>1114204</vt:i4>
      </vt:variant>
      <vt:variant>
        <vt:i4>2039</vt:i4>
      </vt:variant>
      <vt:variant>
        <vt:i4>0</vt:i4>
      </vt:variant>
      <vt:variant>
        <vt:i4>5</vt:i4>
      </vt:variant>
      <vt:variant>
        <vt:lpwstr>https://www.nice.org.uk/about/what-we-do/proportionate-approach-to-technology-appraisals</vt:lpwstr>
      </vt:variant>
      <vt:variant>
        <vt:lpwstr/>
      </vt:variant>
      <vt:variant>
        <vt:i4>4784153</vt:i4>
      </vt:variant>
      <vt:variant>
        <vt:i4>2036</vt:i4>
      </vt:variant>
      <vt:variant>
        <vt:i4>0</vt:i4>
      </vt:variant>
      <vt:variant>
        <vt:i4>5</vt:i4>
      </vt:variant>
      <vt:variant>
        <vt:lpwstr>https://static.nice.org.uk/NICE strategy 2021 to 2026 - Dynamic, Collaborative, Excellent.pdf</vt:lpwstr>
      </vt:variant>
      <vt:variant>
        <vt:lpwstr/>
      </vt:variant>
      <vt:variant>
        <vt:i4>1572879</vt:i4>
      </vt:variant>
      <vt:variant>
        <vt:i4>2033</vt:i4>
      </vt:variant>
      <vt:variant>
        <vt:i4>0</vt:i4>
      </vt:variant>
      <vt:variant>
        <vt:i4>5</vt:i4>
      </vt:variant>
      <vt:variant>
        <vt:lpwstr>https://www.pbs.gov.au/medicinestatus/search.html?page=1&amp;pagesize=100&amp;question=Recommended&amp;sort=-psproperty-meeting-date</vt:lpwstr>
      </vt:variant>
      <vt:variant>
        <vt:lpwstr/>
      </vt:variant>
      <vt:variant>
        <vt:i4>2883692</vt:i4>
      </vt:variant>
      <vt:variant>
        <vt:i4>2030</vt:i4>
      </vt:variant>
      <vt:variant>
        <vt:i4>0</vt:i4>
      </vt:variant>
      <vt:variant>
        <vt:i4>5</vt:i4>
      </vt:variant>
      <vt:variant>
        <vt:lpwstr>https://www.pbs.gov.au/info/industry/listing/elements/fees-and-charges</vt:lpwstr>
      </vt:variant>
      <vt:variant>
        <vt:lpwstr/>
      </vt:variant>
      <vt:variant>
        <vt:i4>1572871</vt:i4>
      </vt:variant>
      <vt:variant>
        <vt:i4>2027</vt:i4>
      </vt:variant>
      <vt:variant>
        <vt:i4>0</vt:i4>
      </vt:variant>
      <vt:variant>
        <vt:i4>5</vt:i4>
      </vt:variant>
      <vt:variant>
        <vt:lpwstr>https://www.pbs.gov.au/info/publication/factsheets/shared/framework-for-introduction-of-managed-entry-scheme-for-PBAC-submissions</vt:lpwstr>
      </vt:variant>
      <vt:variant>
        <vt:lpwstr/>
      </vt:variant>
      <vt:variant>
        <vt:i4>6291509</vt:i4>
      </vt:variant>
      <vt:variant>
        <vt:i4>2024</vt:i4>
      </vt:variant>
      <vt:variant>
        <vt:i4>0</vt:i4>
      </vt:variant>
      <vt:variant>
        <vt:i4>5</vt:i4>
      </vt:variant>
      <vt:variant>
        <vt:lpwstr>https://www.nice.org.uk/about/what-we-do/our-programmes/nice-guidance/chte-methods-consultation</vt:lpwstr>
      </vt:variant>
      <vt:variant>
        <vt:lpwstr/>
      </vt:variant>
      <vt:variant>
        <vt:i4>7143516</vt:i4>
      </vt:variant>
      <vt:variant>
        <vt:i4>2021</vt:i4>
      </vt:variant>
      <vt:variant>
        <vt:i4>0</vt:i4>
      </vt:variant>
      <vt:variant>
        <vt:i4>5</vt:i4>
      </vt:variant>
      <vt:variant>
        <vt:lpwstr>https://www.aph.gov.au/Parliamentary_Business/Committees/House/Health_Aged_Care_and_Sport/Newdrugs/Report</vt:lpwstr>
      </vt:variant>
      <vt:variant>
        <vt:lpwstr/>
      </vt:variant>
      <vt:variant>
        <vt:i4>6488104</vt:i4>
      </vt:variant>
      <vt:variant>
        <vt:i4>2018</vt:i4>
      </vt:variant>
      <vt:variant>
        <vt:i4>0</vt:i4>
      </vt:variant>
      <vt:variant>
        <vt:i4>5</vt:i4>
      </vt:variant>
      <vt:variant>
        <vt:lpwstr>https://www.who.int/health-topics/health-equity</vt:lpwstr>
      </vt:variant>
      <vt:variant>
        <vt:lpwstr/>
      </vt:variant>
      <vt:variant>
        <vt:i4>3080307</vt:i4>
      </vt:variant>
      <vt:variant>
        <vt:i4>2015</vt:i4>
      </vt:variant>
      <vt:variant>
        <vt:i4>0</vt:i4>
      </vt:variant>
      <vt:variant>
        <vt:i4>5</vt:i4>
      </vt:variant>
      <vt:variant>
        <vt:lpwstr>https://www.health.gov.au/sites/default/files/documents/2021/11/procedure-guidance-for-medicines-funded-through-the-life-saving-drugs-program-lsdp.pdf</vt:lpwstr>
      </vt:variant>
      <vt:variant>
        <vt:lpwstr/>
      </vt:variant>
      <vt:variant>
        <vt:i4>5636126</vt:i4>
      </vt:variant>
      <vt:variant>
        <vt:i4>2012</vt:i4>
      </vt:variant>
      <vt:variant>
        <vt:i4>0</vt:i4>
      </vt:variant>
      <vt:variant>
        <vt:i4>5</vt:i4>
      </vt:variant>
      <vt:variant>
        <vt:lpwstr>https://www.hpa.gov.tw/EngPages/Detail.aspx?nodeid=4096&amp;pid=11692</vt:lpwstr>
      </vt:variant>
      <vt:variant>
        <vt:lpwstr/>
      </vt:variant>
      <vt:variant>
        <vt:i4>3604545</vt:i4>
      </vt:variant>
      <vt:variant>
        <vt:i4>2009</vt:i4>
      </vt:variant>
      <vt:variant>
        <vt:i4>0</vt:i4>
      </vt:variant>
      <vt:variant>
        <vt:i4>5</vt:i4>
      </vt:variant>
      <vt:variant>
        <vt:lpwstr>https://www.cde.org.tw/eng/drugs/med_explain?id=39</vt:lpwstr>
      </vt:variant>
      <vt:variant>
        <vt:lpwstr/>
      </vt:variant>
      <vt:variant>
        <vt:i4>5570676</vt:i4>
      </vt:variant>
      <vt:variant>
        <vt:i4>2006</vt:i4>
      </vt:variant>
      <vt:variant>
        <vt:i4>0</vt:i4>
      </vt:variant>
      <vt:variant>
        <vt:i4>5</vt:i4>
      </vt:variant>
      <vt:variant>
        <vt:lpwstr>https://elaw.klri.re.kr/eng_service/lawView.do?hseq=43655&amp;lang=ENG</vt:lpwstr>
      </vt:variant>
      <vt:variant>
        <vt:lpwstr/>
      </vt:variant>
      <vt:variant>
        <vt:i4>1769495</vt:i4>
      </vt:variant>
      <vt:variant>
        <vt:i4>2003</vt:i4>
      </vt:variant>
      <vt:variant>
        <vt:i4>0</vt:i4>
      </vt:variant>
      <vt:variant>
        <vt:i4>5</vt:i4>
      </vt:variant>
      <vt:variant>
        <vt:lpwstr>https://english.zorginstituutnederland.nl/about-us/tasks-of-the-national-health-care-institute/conditional-inclusion-of-orphan-drugs-conditionals-and-exceptionals</vt:lpwstr>
      </vt:variant>
      <vt:variant>
        <vt:lpwstr>:~:text=Medicinal%20products%20can%20only%20be,care%20package%20in%20the%20Netherlands</vt:lpwstr>
      </vt:variant>
      <vt:variant>
        <vt:i4>4980854</vt:i4>
      </vt:variant>
      <vt:variant>
        <vt:i4>2000</vt:i4>
      </vt:variant>
      <vt:variant>
        <vt:i4>0</vt:i4>
      </vt:variant>
      <vt:variant>
        <vt:i4>5</vt:i4>
      </vt:variant>
      <vt:variant>
        <vt:lpwstr>https://www.iqwig.de/en/presse/press-releases/press-releases-detailpage_58496.html</vt:lpwstr>
      </vt:variant>
      <vt:variant>
        <vt:lpwstr/>
      </vt:variant>
      <vt:variant>
        <vt:i4>1179676</vt:i4>
      </vt:variant>
      <vt:variant>
        <vt:i4>1997</vt:i4>
      </vt:variant>
      <vt:variant>
        <vt:i4>0</vt:i4>
      </vt:variant>
      <vt:variant>
        <vt:i4>5</vt:i4>
      </vt:variant>
      <vt:variant>
        <vt:lpwstr>https://www.namse.de/english</vt:lpwstr>
      </vt:variant>
      <vt:variant>
        <vt:lpwstr/>
      </vt:variant>
      <vt:variant>
        <vt:i4>5046289</vt:i4>
      </vt:variant>
      <vt:variant>
        <vt:i4>1994</vt:i4>
      </vt:variant>
      <vt:variant>
        <vt:i4>0</vt:i4>
      </vt:variant>
      <vt:variant>
        <vt:i4>5</vt:i4>
      </vt:variant>
      <vt:variant>
        <vt:lpwstr>https://www.canada.ca/en/health-canada/services/health-care-system/pharmaceuticals/access-insurance-coverage-prescription-medicines.html</vt:lpwstr>
      </vt:variant>
      <vt:variant>
        <vt:lpwstr/>
      </vt:variant>
      <vt:variant>
        <vt:i4>2490430</vt:i4>
      </vt:variant>
      <vt:variant>
        <vt:i4>1991</vt:i4>
      </vt:variant>
      <vt:variant>
        <vt:i4>0</vt:i4>
      </vt:variant>
      <vt:variant>
        <vt:i4>5</vt:i4>
      </vt:variant>
      <vt:variant>
        <vt:lpwstr>https://www.nss.nhs.scot/specialist-healthcare/financial-risk-share/ultra-orphan-medicines/</vt:lpwstr>
      </vt:variant>
      <vt:variant>
        <vt:lpwstr/>
      </vt:variant>
      <vt:variant>
        <vt:i4>5832727</vt:i4>
      </vt:variant>
      <vt:variant>
        <vt:i4>1988</vt:i4>
      </vt:variant>
      <vt:variant>
        <vt:i4>0</vt:i4>
      </vt:variant>
      <vt:variant>
        <vt:i4>5</vt:i4>
      </vt:variant>
      <vt:variant>
        <vt:lpwstr>https://www.scottishmedicines.org.uk/how-we-decide/ultra-orphan-medicines-for-extremely-rare-conditions/</vt:lpwstr>
      </vt:variant>
      <vt:variant>
        <vt:lpwstr/>
      </vt:variant>
      <vt:variant>
        <vt:i4>3604582</vt:i4>
      </vt:variant>
      <vt:variant>
        <vt:i4>1985</vt:i4>
      </vt:variant>
      <vt:variant>
        <vt:i4>0</vt:i4>
      </vt:variant>
      <vt:variant>
        <vt:i4>5</vt:i4>
      </vt:variant>
      <vt:variant>
        <vt:lpwstr>https://www.legislation.gov.uk/uksi/2012/2996/contents/made</vt:lpwstr>
      </vt:variant>
      <vt:variant>
        <vt:lpwstr/>
      </vt:variant>
      <vt:variant>
        <vt:i4>7667754</vt:i4>
      </vt:variant>
      <vt:variant>
        <vt:i4>1982</vt:i4>
      </vt:variant>
      <vt:variant>
        <vt:i4>0</vt:i4>
      </vt:variant>
      <vt:variant>
        <vt:i4>5</vt:i4>
      </vt:variant>
      <vt:variant>
        <vt:lpwstr>https://www.nice.org.uk/about/what-we-do/our-programmes/nice-guidance/nice-highly-specialised-technologies-guidance</vt:lpwstr>
      </vt:variant>
      <vt:variant>
        <vt:lpwstr/>
      </vt:variant>
      <vt:variant>
        <vt:i4>4325406</vt:i4>
      </vt:variant>
      <vt:variant>
        <vt:i4>1979</vt:i4>
      </vt:variant>
      <vt:variant>
        <vt:i4>0</vt:i4>
      </vt:variant>
      <vt:variant>
        <vt:i4>5</vt:i4>
      </vt:variant>
      <vt:variant>
        <vt:lpwstr>https://www.gov.uk/government/publications/england-rare-diseases-action-plan-2022/england-rare-diseases-action-plan-2022</vt:lpwstr>
      </vt:variant>
      <vt:variant>
        <vt:lpwstr/>
      </vt:variant>
      <vt:variant>
        <vt:i4>3866674</vt:i4>
      </vt:variant>
      <vt:variant>
        <vt:i4>1976</vt:i4>
      </vt:variant>
      <vt:variant>
        <vt:i4>0</vt:i4>
      </vt:variant>
      <vt:variant>
        <vt:i4>5</vt:i4>
      </vt:variant>
      <vt:variant>
        <vt:lpwstr>https://www.moh.gov.sg/news-highlights/details/rare-disease-fund-to-provide-financial-support-to-singaporeans-with-rare-diseases</vt:lpwstr>
      </vt:variant>
      <vt:variant>
        <vt:lpwstr>:~:text=2nd%20Jul%202019,treatment%20with%20high%2Dcost%20medicines.&amp;text=2</vt:lpwstr>
      </vt:variant>
      <vt:variant>
        <vt:i4>6094852</vt:i4>
      </vt:variant>
      <vt:variant>
        <vt:i4>1973</vt:i4>
      </vt:variant>
      <vt:variant>
        <vt:i4>0</vt:i4>
      </vt:variant>
      <vt:variant>
        <vt:i4>5</vt:i4>
      </vt:variant>
      <vt:variant>
        <vt:lpwstr>https://pharmac.govt.nz/medicine-funding-and-supply/the-funding-process/from-application-to-funded-medicine-how-we-fund-a-medicine/medicines-for-rare-disorders/</vt:lpwstr>
      </vt:variant>
      <vt:variant>
        <vt:lpwstr/>
      </vt:variant>
      <vt:variant>
        <vt:i4>7798851</vt:i4>
      </vt:variant>
      <vt:variant>
        <vt:i4>1970</vt:i4>
      </vt:variant>
      <vt:variant>
        <vt:i4>0</vt:i4>
      </vt:variant>
      <vt:variant>
        <vt:i4>5</vt:i4>
      </vt:variant>
      <vt:variant>
        <vt:lpwstr>https://www.orpha.net/consor/cgi-bin/Education_AboutOrphanDrugs.php?lng=EN</vt:lpwstr>
      </vt:variant>
      <vt:variant>
        <vt:lpwstr/>
      </vt:variant>
      <vt:variant>
        <vt:i4>3735602</vt:i4>
      </vt:variant>
      <vt:variant>
        <vt:i4>1967</vt:i4>
      </vt:variant>
      <vt:variant>
        <vt:i4>0</vt:i4>
      </vt:variant>
      <vt:variant>
        <vt:i4>5</vt:i4>
      </vt:variant>
      <vt:variant>
        <vt:lpwstr>https://www.tga.gov.au/resources/resource/guidance/orphan-drug-designation-eligibility-criteria</vt:lpwstr>
      </vt:variant>
      <vt:variant>
        <vt:lpwstr/>
      </vt:variant>
      <vt:variant>
        <vt:i4>4456528</vt:i4>
      </vt:variant>
      <vt:variant>
        <vt:i4>1964</vt:i4>
      </vt:variant>
      <vt:variant>
        <vt:i4>0</vt:i4>
      </vt:variant>
      <vt:variant>
        <vt:i4>5</vt:i4>
      </vt:variant>
      <vt:variant>
        <vt:lpwstr>\\utsdf1.adsroot.uts.edu.au\grpshare$\chere_grp\Projects\Current\2023_HTA Review\Working files\KM\www.nice.org.uk\process\pmg36</vt:lpwstr>
      </vt:variant>
      <vt:variant>
        <vt:lpwstr/>
      </vt:variant>
      <vt:variant>
        <vt:i4>7995432</vt:i4>
      </vt:variant>
      <vt:variant>
        <vt:i4>1961</vt:i4>
      </vt:variant>
      <vt:variant>
        <vt:i4>0</vt:i4>
      </vt:variant>
      <vt:variant>
        <vt:i4>5</vt:i4>
      </vt:variant>
      <vt:variant>
        <vt:lpwstr>\\utsdf1.adsroot.uts.edu.au\grpshare$\chere_grp\Projects\Current\2023_HTA Review\Working files\KM\www.rarecancers.org.au</vt:lpwstr>
      </vt:variant>
      <vt:variant>
        <vt:lpwstr/>
      </vt:variant>
      <vt:variant>
        <vt:i4>7471160</vt:i4>
      </vt:variant>
      <vt:variant>
        <vt:i4>1958</vt:i4>
      </vt:variant>
      <vt:variant>
        <vt:i4>0</vt:i4>
      </vt:variant>
      <vt:variant>
        <vt:i4>5</vt:i4>
      </vt:variant>
      <vt:variant>
        <vt:lpwstr>https://www.rarecancers.org.au/news/483/the-true-value-of-investing-in-cancer-treatment</vt:lpwstr>
      </vt:variant>
      <vt:variant>
        <vt:lpwstr/>
      </vt:variant>
      <vt:variant>
        <vt:i4>393219</vt:i4>
      </vt:variant>
      <vt:variant>
        <vt:i4>1955</vt:i4>
      </vt:variant>
      <vt:variant>
        <vt:i4>0</vt:i4>
      </vt:variant>
      <vt:variant>
        <vt:i4>5</vt:i4>
      </vt:variant>
      <vt:variant>
        <vt:lpwstr>https://www.medicinesaustralia.com.au/publications/issues-briefs/hta-review/</vt:lpwstr>
      </vt:variant>
      <vt:variant>
        <vt:lpwstr/>
      </vt:variant>
      <vt:variant>
        <vt:i4>5636164</vt:i4>
      </vt:variant>
      <vt:variant>
        <vt:i4>1952</vt:i4>
      </vt:variant>
      <vt:variant>
        <vt:i4>0</vt:i4>
      </vt:variant>
      <vt:variant>
        <vt:i4>5</vt:i4>
      </vt:variant>
      <vt:variant>
        <vt:lpwstr>https://www.ohe.org/insight/caring-about-carers-improving-consideration-of-the-burden-of-informal-caring-in-hta/</vt:lpwstr>
      </vt:variant>
      <vt:variant>
        <vt:lpwstr/>
      </vt:variant>
      <vt:variant>
        <vt:i4>4194305</vt:i4>
      </vt:variant>
      <vt:variant>
        <vt:i4>1949</vt:i4>
      </vt:variant>
      <vt:variant>
        <vt:i4>0</vt:i4>
      </vt:variant>
      <vt:variant>
        <vt:i4>5</vt:i4>
      </vt:variant>
      <vt:variant>
        <vt:lpwstr>https://www.scottishmedicines.org.uk/about-us/latest-update/fast-track-resubmission-process/</vt:lpwstr>
      </vt:variant>
      <vt:variant>
        <vt:lpwstr/>
      </vt:variant>
      <vt:variant>
        <vt:i4>5111890</vt:i4>
      </vt:variant>
      <vt:variant>
        <vt:i4>1946</vt:i4>
      </vt:variant>
      <vt:variant>
        <vt:i4>0</vt:i4>
      </vt:variant>
      <vt:variant>
        <vt:i4>5</vt:i4>
      </vt:variant>
      <vt:variant>
        <vt:lpwstr>https://www.sykehusinnkjop.no/49614b/siteassets/nyheter/beslutningsfourm-22.-juni-2020/handbook-introduction-of-pharmaceuticals-v-1.1.pdf</vt:lpwstr>
      </vt:variant>
      <vt:variant>
        <vt:lpwstr/>
      </vt:variant>
      <vt:variant>
        <vt:i4>4849748</vt:i4>
      </vt:variant>
      <vt:variant>
        <vt:i4>1943</vt:i4>
      </vt:variant>
      <vt:variant>
        <vt:i4>0</vt:i4>
      </vt:variant>
      <vt:variant>
        <vt:i4>5</vt:i4>
      </vt:variant>
      <vt:variant>
        <vt:lpwstr>https://www.pbs.gov.au/info/industry/pricing/price-disclosure-spd</vt:lpwstr>
      </vt:variant>
      <vt:variant>
        <vt:lpwstr/>
      </vt:variant>
      <vt:variant>
        <vt:i4>7143456</vt:i4>
      </vt:variant>
      <vt:variant>
        <vt:i4>1940</vt:i4>
      </vt:variant>
      <vt:variant>
        <vt:i4>0</vt:i4>
      </vt:variant>
      <vt:variant>
        <vt:i4>5</vt:i4>
      </vt:variant>
      <vt:variant>
        <vt:lpwstr>https://www.pbs.gov.au/pbs/industry/pricing/pbs-items/formulary-allocations</vt:lpwstr>
      </vt:variant>
      <vt:variant>
        <vt:lpwstr/>
      </vt:variant>
      <vt:variant>
        <vt:i4>983109</vt:i4>
      </vt:variant>
      <vt:variant>
        <vt:i4>1937</vt:i4>
      </vt:variant>
      <vt:variant>
        <vt:i4>0</vt:i4>
      </vt:variant>
      <vt:variant>
        <vt:i4>5</vt:i4>
      </vt:variant>
      <vt:variant>
        <vt:lpwstr>https://www.pbs.gov.au/pbs/industry/pricing/eapd/price-disclosure-faq</vt:lpwstr>
      </vt:variant>
      <vt:variant>
        <vt:lpwstr/>
      </vt:variant>
      <vt:variant>
        <vt:i4>5963786</vt:i4>
      </vt:variant>
      <vt:variant>
        <vt:i4>1934</vt:i4>
      </vt:variant>
      <vt:variant>
        <vt:i4>0</vt:i4>
      </vt:variant>
      <vt:variant>
        <vt:i4>5</vt:i4>
      </vt:variant>
      <vt:variant>
        <vt:lpwstr>http://www.msac.gov.au/internet/msac/publishing.nsf/Content/factsheet-03</vt:lpwstr>
      </vt:variant>
      <vt:variant>
        <vt:lpwstr/>
      </vt:variant>
      <vt:variant>
        <vt:i4>6160394</vt:i4>
      </vt:variant>
      <vt:variant>
        <vt:i4>1931</vt:i4>
      </vt:variant>
      <vt:variant>
        <vt:i4>0</vt:i4>
      </vt:variant>
      <vt:variant>
        <vt:i4>5</vt:i4>
      </vt:variant>
      <vt:variant>
        <vt:lpwstr>http://www.msac.gov.au/internet/msac/publishing.nsf/Content/factsheet-06</vt:lpwstr>
      </vt:variant>
      <vt:variant>
        <vt:lpwstr/>
      </vt:variant>
      <vt:variant>
        <vt:i4>2424947</vt:i4>
      </vt:variant>
      <vt:variant>
        <vt:i4>1928</vt:i4>
      </vt:variant>
      <vt:variant>
        <vt:i4>0</vt:i4>
      </vt:variant>
      <vt:variant>
        <vt:i4>5</vt:i4>
      </vt:variant>
      <vt:variant>
        <vt:lpwstr>http://www.msac.gov.au/internet/msac/publishing.nsf/Content/how-to-apply-for-public-funding</vt:lpwstr>
      </vt:variant>
      <vt:variant>
        <vt:lpwstr/>
      </vt:variant>
      <vt:variant>
        <vt:i4>3342341</vt:i4>
      </vt:variant>
      <vt:variant>
        <vt:i4>1925</vt:i4>
      </vt:variant>
      <vt:variant>
        <vt:i4>0</vt:i4>
      </vt:variant>
      <vt:variant>
        <vt:i4>5</vt:i4>
      </vt:variant>
      <vt:variant>
        <vt:lpwstr>https://www.aph.gov.au/Parliamentary_Business/Committees/House/Health_Aged_Care_and_Sport/Newdrugs/Report/section?id=committees%2Freportrep%2F024755%2F77599</vt:lpwstr>
      </vt:variant>
      <vt:variant>
        <vt:lpwstr/>
      </vt:variant>
      <vt:variant>
        <vt:i4>3211316</vt:i4>
      </vt:variant>
      <vt:variant>
        <vt:i4>1922</vt:i4>
      </vt:variant>
      <vt:variant>
        <vt:i4>0</vt:i4>
      </vt:variant>
      <vt:variant>
        <vt:i4>5</vt:i4>
      </vt:variant>
      <vt:variant>
        <vt:lpwstr>https://www.pbs.gov.au/info/industry/useful-resources/pbs-forms</vt:lpwstr>
      </vt:variant>
      <vt:variant>
        <vt:lpwstr/>
      </vt:variant>
      <vt:variant>
        <vt:i4>8060944</vt:i4>
      </vt:variant>
      <vt:variant>
        <vt:i4>1919</vt:i4>
      </vt:variant>
      <vt:variant>
        <vt:i4>0</vt:i4>
      </vt:variant>
      <vt:variant>
        <vt:i4>5</vt:i4>
      </vt:variant>
      <vt:variant>
        <vt:lpwstr>https://consultations.health.gov.au/technology-assessment-access-division/revised-pbs-post-market-review-framework/supporting_documents/Current PMR Framework.pdf</vt:lpwstr>
      </vt:variant>
      <vt:variant>
        <vt:lpwstr/>
      </vt:variant>
      <vt:variant>
        <vt:i4>7733357</vt:i4>
      </vt:variant>
      <vt:variant>
        <vt:i4>1916</vt:i4>
      </vt:variant>
      <vt:variant>
        <vt:i4>0</vt:i4>
      </vt:variant>
      <vt:variant>
        <vt:i4>5</vt:i4>
      </vt:variant>
      <vt:variant>
        <vt:lpwstr>https://www.pbs.gov.au/info/industry/listing/participants/public-release-docs/dusc-utilisation-public-release-docs</vt:lpwstr>
      </vt:variant>
      <vt:variant>
        <vt:lpwstr/>
      </vt:variant>
      <vt:variant>
        <vt:i4>1114204</vt:i4>
      </vt:variant>
      <vt:variant>
        <vt:i4>1913</vt:i4>
      </vt:variant>
      <vt:variant>
        <vt:i4>0</vt:i4>
      </vt:variant>
      <vt:variant>
        <vt:i4>5</vt:i4>
      </vt:variant>
      <vt:variant>
        <vt:lpwstr>https://www.nice.org.uk/about/what-we-do/proportionate-approach-to-technology-appraisals</vt:lpwstr>
      </vt:variant>
      <vt:variant>
        <vt:lpwstr/>
      </vt:variant>
      <vt:variant>
        <vt:i4>2818089</vt:i4>
      </vt:variant>
      <vt:variant>
        <vt:i4>1910</vt:i4>
      </vt:variant>
      <vt:variant>
        <vt:i4>0</vt:i4>
      </vt:variant>
      <vt:variant>
        <vt:i4>5</vt:i4>
      </vt:variant>
      <vt:variant>
        <vt:lpwstr>https://www.health.gov.au/sites/default/files/2023-01/prostheses-list-reforms-pre-listing-assessment-framework-and-governance-structure.pdf</vt:lpwstr>
      </vt:variant>
      <vt:variant>
        <vt:lpwstr/>
      </vt:variant>
      <vt:variant>
        <vt:i4>2883682</vt:i4>
      </vt:variant>
      <vt:variant>
        <vt:i4>1907</vt:i4>
      </vt:variant>
      <vt:variant>
        <vt:i4>0</vt:i4>
      </vt:variant>
      <vt:variant>
        <vt:i4>5</vt:i4>
      </vt:variant>
      <vt:variant>
        <vt:lpwstr>https://www.pbs.gov.au/info/news/2023/04/publication-of-stage-1-and-stage-2-pbs-process</vt:lpwstr>
      </vt:variant>
      <vt:variant>
        <vt:lpwstr/>
      </vt:variant>
      <vt:variant>
        <vt:i4>4653058</vt:i4>
      </vt:variant>
      <vt:variant>
        <vt:i4>1904</vt:i4>
      </vt:variant>
      <vt:variant>
        <vt:i4>0</vt:i4>
      </vt:variant>
      <vt:variant>
        <vt:i4>5</vt:i4>
      </vt:variant>
      <vt:variant>
        <vt:lpwstr>https://www.pbs.gov.au/info/general/pbs-process-improvements</vt:lpwstr>
      </vt:variant>
      <vt:variant>
        <vt:lpwstr/>
      </vt:variant>
      <vt:variant>
        <vt:i4>7864442</vt:i4>
      </vt:variant>
      <vt:variant>
        <vt:i4>1901</vt:i4>
      </vt:variant>
      <vt:variant>
        <vt:i4>0</vt:i4>
      </vt:variant>
      <vt:variant>
        <vt:i4>5</vt:i4>
      </vt:variant>
      <vt:variant>
        <vt:lpwstr>https://www.nice.org.uk/Media/Default/About/what-we-do/our-programmes/nice-guidance/chte-methods-consultation/Equalities-task-and-finish-group-report.docx</vt:lpwstr>
      </vt:variant>
      <vt:variant>
        <vt:lpwstr/>
      </vt:variant>
      <vt:variant>
        <vt:i4>3866660</vt:i4>
      </vt:variant>
      <vt:variant>
        <vt:i4>1898</vt:i4>
      </vt:variant>
      <vt:variant>
        <vt:i4>0</vt:i4>
      </vt:variant>
      <vt:variant>
        <vt:i4>5</vt:i4>
      </vt:variant>
      <vt:variant>
        <vt:lpwstr>https://pharmac.govt.nz/te-tiriti-o-waitangi/te-whaioranga/te-rautaki-te-whaioranga/priority-equity-for-maori/</vt:lpwstr>
      </vt:variant>
      <vt:variant>
        <vt:lpwstr/>
      </vt:variant>
      <vt:variant>
        <vt:i4>7012386</vt:i4>
      </vt:variant>
      <vt:variant>
        <vt:i4>1895</vt:i4>
      </vt:variant>
      <vt:variant>
        <vt:i4>0</vt:i4>
      </vt:variant>
      <vt:variant>
        <vt:i4>5</vt:i4>
      </vt:variant>
      <vt:variant>
        <vt:lpwstr>https://www.pbs.gov.au/info/publication/factsheets/shared/pbs-listings-for-aboriginal-and-torres-strait-islander-people</vt:lpwstr>
      </vt:variant>
      <vt:variant>
        <vt:lpwstr/>
      </vt:variant>
      <vt:variant>
        <vt:i4>8126507</vt:i4>
      </vt:variant>
      <vt:variant>
        <vt:i4>1892</vt:i4>
      </vt:variant>
      <vt:variant>
        <vt:i4>0</vt:i4>
      </vt:variant>
      <vt:variant>
        <vt:i4>5</vt:i4>
      </vt:variant>
      <vt:variant>
        <vt:lpwstr>https://www.scottishmedicines.org.uk/media/7217/pace-overview-document-v36docx.pdf</vt:lpwstr>
      </vt:variant>
      <vt:variant>
        <vt:lpwstr/>
      </vt:variant>
      <vt:variant>
        <vt:i4>7274537</vt:i4>
      </vt:variant>
      <vt:variant>
        <vt:i4>1889</vt:i4>
      </vt:variant>
      <vt:variant>
        <vt:i4>0</vt:i4>
      </vt:variant>
      <vt:variant>
        <vt:i4>5</vt:i4>
      </vt:variant>
      <vt:variant>
        <vt:lpwstr>https://www.gov.scot/binaries/content/documents/govscot/publications/advice-and-guidance/2019/05/ultra-orphan-medicine-pathways-guidance/documents/ultra-orphan-medicines-pathway-guide/ultra-orphan-medicines-pathway-guide/govscot%3Adocument/Generic%2BGuidance%2B-%2BUltra-orphan%2Bpathway_draft%2Bguidance%2B-%2Bfinal.pdf</vt:lpwstr>
      </vt:variant>
      <vt:variant>
        <vt:lpwstr/>
      </vt:variant>
      <vt:variant>
        <vt:i4>7733289</vt:i4>
      </vt:variant>
      <vt:variant>
        <vt:i4>1886</vt:i4>
      </vt:variant>
      <vt:variant>
        <vt:i4>0</vt:i4>
      </vt:variant>
      <vt:variant>
        <vt:i4>5</vt:i4>
      </vt:variant>
      <vt:variant>
        <vt:lpwstr>https://www.health.gov.au/topics/chronic-conditions/what-were-doing-about-chronic-conditions/what-were-doing-about-rare-diseases</vt:lpwstr>
      </vt:variant>
      <vt:variant>
        <vt:lpwstr>about-rare-diseases</vt:lpwstr>
      </vt:variant>
      <vt:variant>
        <vt:i4>7864447</vt:i4>
      </vt:variant>
      <vt:variant>
        <vt:i4>1883</vt:i4>
      </vt:variant>
      <vt:variant>
        <vt:i4>0</vt:i4>
      </vt:variant>
      <vt:variant>
        <vt:i4>5</vt:i4>
      </vt:variant>
      <vt:variant>
        <vt:lpwstr>https://pharmac.govt.nz/medicine-funding-and-supply/the-funding-process/medicines-and-medical-devices-contract-negotiation</vt:lpwstr>
      </vt:variant>
      <vt:variant>
        <vt:lpwstr/>
      </vt:variant>
      <vt:variant>
        <vt:i4>2752623</vt:i4>
      </vt:variant>
      <vt:variant>
        <vt:i4>1880</vt:i4>
      </vt:variant>
      <vt:variant>
        <vt:i4>0</vt:i4>
      </vt:variant>
      <vt:variant>
        <vt:i4>5</vt:i4>
      </vt:variant>
      <vt:variant>
        <vt:lpwstr>http://www.msac.gov.au/internet/msac/publishing.nsf/Content/MSAC-Guidelines</vt:lpwstr>
      </vt:variant>
      <vt:variant>
        <vt:lpwstr/>
      </vt:variant>
      <vt:variant>
        <vt:i4>4980743</vt:i4>
      </vt:variant>
      <vt:variant>
        <vt:i4>1877</vt:i4>
      </vt:variant>
      <vt:variant>
        <vt:i4>0</vt:i4>
      </vt:variant>
      <vt:variant>
        <vt:i4>5</vt:i4>
      </vt:variant>
      <vt:variant>
        <vt:lpwstr>https://pbac.pbs.gov.au/</vt:lpwstr>
      </vt:variant>
      <vt:variant>
        <vt:lpwstr/>
      </vt:variant>
      <vt:variant>
        <vt:i4>524304</vt:i4>
      </vt:variant>
      <vt:variant>
        <vt:i4>1872</vt:i4>
      </vt:variant>
      <vt:variant>
        <vt:i4>0</vt:i4>
      </vt:variant>
      <vt:variant>
        <vt:i4>5</vt:i4>
      </vt:variant>
      <vt:variant>
        <vt:lpwstr>https://icer.org/</vt:lpwstr>
      </vt:variant>
      <vt:variant>
        <vt:lpwstr/>
      </vt:variant>
      <vt:variant>
        <vt:i4>720976</vt:i4>
      </vt:variant>
      <vt:variant>
        <vt:i4>1869</vt:i4>
      </vt:variant>
      <vt:variant>
        <vt:i4>0</vt:i4>
      </vt:variant>
      <vt:variant>
        <vt:i4>5</vt:i4>
      </vt:variant>
      <vt:variant>
        <vt:lpwstr>https://www.gbma.com.au/</vt:lpwstr>
      </vt:variant>
      <vt:variant>
        <vt:lpwstr/>
      </vt:variant>
      <vt:variant>
        <vt:i4>589912</vt:i4>
      </vt:variant>
      <vt:variant>
        <vt:i4>1866</vt:i4>
      </vt:variant>
      <vt:variant>
        <vt:i4>0</vt:i4>
      </vt:variant>
      <vt:variant>
        <vt:i4>5</vt:i4>
      </vt:variant>
      <vt:variant>
        <vt:lpwstr>https://www.arcs.com.au/</vt:lpwstr>
      </vt:variant>
      <vt:variant>
        <vt:lpwstr/>
      </vt:variant>
      <vt:variant>
        <vt:i4>2555939</vt:i4>
      </vt:variant>
      <vt:variant>
        <vt:i4>1863</vt:i4>
      </vt:variant>
      <vt:variant>
        <vt:i4>0</vt:i4>
      </vt:variant>
      <vt:variant>
        <vt:i4>5</vt:i4>
      </vt:variant>
      <vt:variant>
        <vt:lpwstr>https://www.ispor.org/</vt:lpwstr>
      </vt:variant>
      <vt:variant>
        <vt:lpwstr/>
      </vt:variant>
      <vt:variant>
        <vt:i4>5439554</vt:i4>
      </vt:variant>
      <vt:variant>
        <vt:i4>1860</vt:i4>
      </vt:variant>
      <vt:variant>
        <vt:i4>0</vt:i4>
      </vt:variant>
      <vt:variant>
        <vt:i4>5</vt:i4>
      </vt:variant>
      <vt:variant>
        <vt:lpwstr>https://www.ohe.org/</vt:lpwstr>
      </vt:variant>
      <vt:variant>
        <vt:lpwstr/>
      </vt:variant>
      <vt:variant>
        <vt:i4>3866674</vt:i4>
      </vt:variant>
      <vt:variant>
        <vt:i4>1857</vt:i4>
      </vt:variant>
      <vt:variant>
        <vt:i4>0</vt:i4>
      </vt:variant>
      <vt:variant>
        <vt:i4>5</vt:i4>
      </vt:variant>
      <vt:variant>
        <vt:lpwstr>https://www.rarecancers.org.au/</vt:lpwstr>
      </vt:variant>
      <vt:variant>
        <vt:lpwstr/>
      </vt:variant>
      <vt:variant>
        <vt:i4>1769547</vt:i4>
      </vt:variant>
      <vt:variant>
        <vt:i4>1854</vt:i4>
      </vt:variant>
      <vt:variant>
        <vt:i4>0</vt:i4>
      </vt:variant>
      <vt:variant>
        <vt:i4>5</vt:i4>
      </vt:variant>
      <vt:variant>
        <vt:lpwstr>https://www.mtaa.org.au/</vt:lpwstr>
      </vt:variant>
      <vt:variant>
        <vt:lpwstr/>
      </vt:variant>
      <vt:variant>
        <vt:i4>6619172</vt:i4>
      </vt:variant>
      <vt:variant>
        <vt:i4>1851</vt:i4>
      </vt:variant>
      <vt:variant>
        <vt:i4>0</vt:i4>
      </vt:variant>
      <vt:variant>
        <vt:i4>5</vt:i4>
      </vt:variant>
      <vt:variant>
        <vt:lpwstr>https://www.medicinesaustralia.com.au/</vt:lpwstr>
      </vt:variant>
      <vt:variant>
        <vt:lpwstr/>
      </vt:variant>
      <vt:variant>
        <vt:i4>2883707</vt:i4>
      </vt:variant>
      <vt:variant>
        <vt:i4>1845</vt:i4>
      </vt:variant>
      <vt:variant>
        <vt:i4>0</vt:i4>
      </vt:variant>
      <vt:variant>
        <vt:i4>5</vt:i4>
      </vt:variant>
      <vt:variant>
        <vt:lpwstr>https://eng.nhi.gov.tw/en/mp-2.html</vt:lpwstr>
      </vt:variant>
      <vt:variant>
        <vt:lpwstr/>
      </vt:variant>
      <vt:variant>
        <vt:i4>4522002</vt:i4>
      </vt:variant>
      <vt:variant>
        <vt:i4>1842</vt:i4>
      </vt:variant>
      <vt:variant>
        <vt:i4>0</vt:i4>
      </vt:variant>
      <vt:variant>
        <vt:i4>5</vt:i4>
      </vt:variant>
      <vt:variant>
        <vt:lpwstr>https://www.cde.org.tw/eng/HTA/NIHTA</vt:lpwstr>
      </vt:variant>
      <vt:variant>
        <vt:lpwstr/>
      </vt:variant>
      <vt:variant>
        <vt:i4>7667770</vt:i4>
      </vt:variant>
      <vt:variant>
        <vt:i4>1839</vt:i4>
      </vt:variant>
      <vt:variant>
        <vt:i4>0</vt:i4>
      </vt:variant>
      <vt:variant>
        <vt:i4>5</vt:i4>
      </vt:variant>
      <vt:variant>
        <vt:lpwstr>https://www.ace-hta.gov.sg/about-us</vt:lpwstr>
      </vt:variant>
      <vt:variant>
        <vt:lpwstr/>
      </vt:variant>
      <vt:variant>
        <vt:i4>6422637</vt:i4>
      </vt:variant>
      <vt:variant>
        <vt:i4>1836</vt:i4>
      </vt:variant>
      <vt:variant>
        <vt:i4>0</vt:i4>
      </vt:variant>
      <vt:variant>
        <vt:i4>5</vt:i4>
      </vt:variant>
      <vt:variant>
        <vt:lpwstr>https://www.neca.re.kr/</vt:lpwstr>
      </vt:variant>
      <vt:variant>
        <vt:lpwstr/>
      </vt:variant>
      <vt:variant>
        <vt:i4>3407976</vt:i4>
      </vt:variant>
      <vt:variant>
        <vt:i4>1833</vt:i4>
      </vt:variant>
      <vt:variant>
        <vt:i4>0</vt:i4>
      </vt:variant>
      <vt:variant>
        <vt:i4>5</vt:i4>
      </vt:variant>
      <vt:variant>
        <vt:lpwstr>https://www.hira.or.kr/eng/main.do</vt:lpwstr>
      </vt:variant>
      <vt:variant>
        <vt:lpwstr/>
      </vt:variant>
      <vt:variant>
        <vt:i4>8323135</vt:i4>
      </vt:variant>
      <vt:variant>
        <vt:i4>1830</vt:i4>
      </vt:variant>
      <vt:variant>
        <vt:i4>0</vt:i4>
      </vt:variant>
      <vt:variant>
        <vt:i4>5</vt:i4>
      </vt:variant>
      <vt:variant>
        <vt:lpwstr>https://c2h.niph.go.jp/en/</vt:lpwstr>
      </vt:variant>
      <vt:variant>
        <vt:lpwstr/>
      </vt:variant>
      <vt:variant>
        <vt:i4>3538995</vt:i4>
      </vt:variant>
      <vt:variant>
        <vt:i4>1827</vt:i4>
      </vt:variant>
      <vt:variant>
        <vt:i4>0</vt:i4>
      </vt:variant>
      <vt:variant>
        <vt:i4>5</vt:i4>
      </vt:variant>
      <vt:variant>
        <vt:lpwstr>https://www.euskadi.eus/web01-a2ikeost/en/</vt:lpwstr>
      </vt:variant>
      <vt:variant>
        <vt:lpwstr/>
      </vt:variant>
      <vt:variant>
        <vt:i4>1048599</vt:i4>
      </vt:variant>
      <vt:variant>
        <vt:i4>1824</vt:i4>
      </vt:variant>
      <vt:variant>
        <vt:i4>0</vt:i4>
      </vt:variant>
      <vt:variant>
        <vt:i4>5</vt:i4>
      </vt:variant>
      <vt:variant>
        <vt:lpwstr>https://www.iacs.es/</vt:lpwstr>
      </vt:variant>
      <vt:variant>
        <vt:lpwstr/>
      </vt:variant>
      <vt:variant>
        <vt:i4>1769545</vt:i4>
      </vt:variant>
      <vt:variant>
        <vt:i4>1821</vt:i4>
      </vt:variant>
      <vt:variant>
        <vt:i4>0</vt:i4>
      </vt:variant>
      <vt:variant>
        <vt:i4>5</vt:i4>
      </vt:variant>
      <vt:variant>
        <vt:lpwstr>https://catsalut.gencat.cat/ca/inici/</vt:lpwstr>
      </vt:variant>
      <vt:variant>
        <vt:lpwstr/>
      </vt:variant>
      <vt:variant>
        <vt:i4>1572929</vt:i4>
      </vt:variant>
      <vt:variant>
        <vt:i4>1818</vt:i4>
      </vt:variant>
      <vt:variant>
        <vt:i4>0</vt:i4>
      </vt:variant>
      <vt:variant>
        <vt:i4>5</vt:i4>
      </vt:variant>
      <vt:variant>
        <vt:lpwstr>https://avalia-t.sergas.gal/Paxinas/web.aspx</vt:lpwstr>
      </vt:variant>
      <vt:variant>
        <vt:lpwstr/>
      </vt:variant>
      <vt:variant>
        <vt:i4>7012412</vt:i4>
      </vt:variant>
      <vt:variant>
        <vt:i4>1815</vt:i4>
      </vt:variant>
      <vt:variant>
        <vt:i4>0</vt:i4>
      </vt:variant>
      <vt:variant>
        <vt:i4>5</vt:i4>
      </vt:variant>
      <vt:variant>
        <vt:lpwstr>https://aquas.gencat.cat/en/ajuda/mapaweb/</vt:lpwstr>
      </vt:variant>
      <vt:variant>
        <vt:lpwstr/>
      </vt:variant>
      <vt:variant>
        <vt:i4>1900623</vt:i4>
      </vt:variant>
      <vt:variant>
        <vt:i4>1812</vt:i4>
      </vt:variant>
      <vt:variant>
        <vt:i4>0</vt:i4>
      </vt:variant>
      <vt:variant>
        <vt:i4>5</vt:i4>
      </vt:variant>
      <vt:variant>
        <vt:lpwstr>https://www.aemps.gob.es/?lang=en</vt:lpwstr>
      </vt:variant>
      <vt:variant>
        <vt:lpwstr/>
      </vt:variant>
      <vt:variant>
        <vt:i4>2949180</vt:i4>
      </vt:variant>
      <vt:variant>
        <vt:i4>1809</vt:i4>
      </vt:variant>
      <vt:variant>
        <vt:i4>0</vt:i4>
      </vt:variant>
      <vt:variant>
        <vt:i4>5</vt:i4>
      </vt:variant>
      <vt:variant>
        <vt:lpwstr>https://www.aetsa.org/</vt:lpwstr>
      </vt:variant>
      <vt:variant>
        <vt:lpwstr/>
      </vt:variant>
      <vt:variant>
        <vt:i4>3145849</vt:i4>
      </vt:variant>
      <vt:variant>
        <vt:i4>1806</vt:i4>
      </vt:variant>
      <vt:variant>
        <vt:i4>0</vt:i4>
      </vt:variant>
      <vt:variant>
        <vt:i4>5</vt:i4>
      </vt:variant>
      <vt:variant>
        <vt:lpwstr>https://redets.sanidad.gob.es/</vt:lpwstr>
      </vt:variant>
      <vt:variant>
        <vt:lpwstr/>
      </vt:variant>
      <vt:variant>
        <vt:i4>8060960</vt:i4>
      </vt:variant>
      <vt:variant>
        <vt:i4>1803</vt:i4>
      </vt:variant>
      <vt:variant>
        <vt:i4>0</vt:i4>
      </vt:variant>
      <vt:variant>
        <vt:i4>5</vt:i4>
      </vt:variant>
      <vt:variant>
        <vt:lpwstr>https://mss.gouvernement.lu/en.html</vt:lpwstr>
      </vt:variant>
      <vt:variant>
        <vt:lpwstr/>
      </vt:variant>
      <vt:variant>
        <vt:i4>7208967</vt:i4>
      </vt:variant>
      <vt:variant>
        <vt:i4>1800</vt:i4>
      </vt:variant>
      <vt:variant>
        <vt:i4>0</vt:i4>
      </vt:variant>
      <vt:variant>
        <vt:i4>5</vt:i4>
      </vt:variant>
      <vt:variant>
        <vt:lpwstr>https://beneluxa.org/HTA_procedures</vt:lpwstr>
      </vt:variant>
      <vt:variant>
        <vt:lpwstr/>
      </vt:variant>
      <vt:variant>
        <vt:i4>3997748</vt:i4>
      </vt:variant>
      <vt:variant>
        <vt:i4>1797</vt:i4>
      </vt:variant>
      <vt:variant>
        <vt:i4>0</vt:i4>
      </vt:variant>
      <vt:variant>
        <vt:i4>5</vt:i4>
      </vt:variant>
      <vt:variant>
        <vt:lpwstr>https://www.inami.fgov.be/fr/Pages/default.aspx</vt:lpwstr>
      </vt:variant>
      <vt:variant>
        <vt:lpwstr/>
      </vt:variant>
      <vt:variant>
        <vt:i4>7208967</vt:i4>
      </vt:variant>
      <vt:variant>
        <vt:i4>1794</vt:i4>
      </vt:variant>
      <vt:variant>
        <vt:i4>0</vt:i4>
      </vt:variant>
      <vt:variant>
        <vt:i4>5</vt:i4>
      </vt:variant>
      <vt:variant>
        <vt:lpwstr>https://beneluxa.org/HTA_procedures</vt:lpwstr>
      </vt:variant>
      <vt:variant>
        <vt:lpwstr/>
      </vt:variant>
      <vt:variant>
        <vt:i4>6094852</vt:i4>
      </vt:variant>
      <vt:variant>
        <vt:i4>1791</vt:i4>
      </vt:variant>
      <vt:variant>
        <vt:i4>0</vt:i4>
      </vt:variant>
      <vt:variant>
        <vt:i4>5</vt:i4>
      </vt:variant>
      <vt:variant>
        <vt:lpwstr>https://www.eunethta.eu/zin/</vt:lpwstr>
      </vt:variant>
      <vt:variant>
        <vt:lpwstr/>
      </vt:variant>
      <vt:variant>
        <vt:i4>7078006</vt:i4>
      </vt:variant>
      <vt:variant>
        <vt:i4>1788</vt:i4>
      </vt:variant>
      <vt:variant>
        <vt:i4>0</vt:i4>
      </vt:variant>
      <vt:variant>
        <vt:i4>5</vt:i4>
      </vt:variant>
      <vt:variant>
        <vt:lpwstr>https://www.tlv.se/in-english.html</vt:lpwstr>
      </vt:variant>
      <vt:variant>
        <vt:lpwstr/>
      </vt:variant>
      <vt:variant>
        <vt:i4>2818144</vt:i4>
      </vt:variant>
      <vt:variant>
        <vt:i4>1785</vt:i4>
      </vt:variant>
      <vt:variant>
        <vt:i4>0</vt:i4>
      </vt:variant>
      <vt:variant>
        <vt:i4>5</vt:i4>
      </vt:variant>
      <vt:variant>
        <vt:lpwstr>https://www.fhi.no/en/</vt:lpwstr>
      </vt:variant>
      <vt:variant>
        <vt:lpwstr/>
      </vt:variant>
      <vt:variant>
        <vt:i4>3801196</vt:i4>
      </vt:variant>
      <vt:variant>
        <vt:i4>1782</vt:i4>
      </vt:variant>
      <vt:variant>
        <vt:i4>0</vt:i4>
      </vt:variant>
      <vt:variant>
        <vt:i4>5</vt:i4>
      </vt:variant>
      <vt:variant>
        <vt:lpwstr>https://legemiddelverket.no/english</vt:lpwstr>
      </vt:variant>
      <vt:variant>
        <vt:lpwstr/>
      </vt:variant>
      <vt:variant>
        <vt:i4>1114125</vt:i4>
      </vt:variant>
      <vt:variant>
        <vt:i4>1779</vt:i4>
      </vt:variant>
      <vt:variant>
        <vt:i4>0</vt:i4>
      </vt:variant>
      <vt:variant>
        <vt:i4>5</vt:i4>
      </vt:variant>
      <vt:variant>
        <vt:lpwstr>https://www.g-ba.de/english/</vt:lpwstr>
      </vt:variant>
      <vt:variant>
        <vt:lpwstr/>
      </vt:variant>
      <vt:variant>
        <vt:i4>1769565</vt:i4>
      </vt:variant>
      <vt:variant>
        <vt:i4>1776</vt:i4>
      </vt:variant>
      <vt:variant>
        <vt:i4>0</vt:i4>
      </vt:variant>
      <vt:variant>
        <vt:i4>5</vt:i4>
      </vt:variant>
      <vt:variant>
        <vt:lpwstr>https://www.iqwig.de/</vt:lpwstr>
      </vt:variant>
      <vt:variant>
        <vt:lpwstr/>
      </vt:variant>
      <vt:variant>
        <vt:i4>5046341</vt:i4>
      </vt:variant>
      <vt:variant>
        <vt:i4>1773</vt:i4>
      </vt:variant>
      <vt:variant>
        <vt:i4>0</vt:i4>
      </vt:variant>
      <vt:variant>
        <vt:i4>5</vt:i4>
      </vt:variant>
      <vt:variant>
        <vt:lpwstr>https://www.has-sante.fr/</vt:lpwstr>
      </vt:variant>
      <vt:variant>
        <vt:lpwstr/>
      </vt:variant>
      <vt:variant>
        <vt:i4>1966106</vt:i4>
      </vt:variant>
      <vt:variant>
        <vt:i4>1770</vt:i4>
      </vt:variant>
      <vt:variant>
        <vt:i4>0</vt:i4>
      </vt:variant>
      <vt:variant>
        <vt:i4>5</vt:i4>
      </vt:variant>
      <vt:variant>
        <vt:lpwstr>https://pharmac.govt.nz/</vt:lpwstr>
      </vt:variant>
      <vt:variant>
        <vt:lpwstr/>
      </vt:variant>
      <vt:variant>
        <vt:i4>6094863</vt:i4>
      </vt:variant>
      <vt:variant>
        <vt:i4>1767</vt:i4>
      </vt:variant>
      <vt:variant>
        <vt:i4>0</vt:i4>
      </vt:variant>
      <vt:variant>
        <vt:i4>5</vt:i4>
      </vt:variant>
      <vt:variant>
        <vt:lpwstr>https://www.inesss.qc.ca/en/home.html</vt:lpwstr>
      </vt:variant>
      <vt:variant>
        <vt:lpwstr/>
      </vt:variant>
      <vt:variant>
        <vt:i4>1179724</vt:i4>
      </vt:variant>
      <vt:variant>
        <vt:i4>1764</vt:i4>
      </vt:variant>
      <vt:variant>
        <vt:i4>0</vt:i4>
      </vt:variant>
      <vt:variant>
        <vt:i4>5</vt:i4>
      </vt:variant>
      <vt:variant>
        <vt:lpwstr>https://www.cadth.ca/</vt:lpwstr>
      </vt:variant>
      <vt:variant>
        <vt:lpwstr/>
      </vt:variant>
      <vt:variant>
        <vt:i4>4653137</vt:i4>
      </vt:variant>
      <vt:variant>
        <vt:i4>1761</vt:i4>
      </vt:variant>
      <vt:variant>
        <vt:i4>0</vt:i4>
      </vt:variant>
      <vt:variant>
        <vt:i4>5</vt:i4>
      </vt:variant>
      <vt:variant>
        <vt:lpwstr>https://www.scottishmedicines.org.uk/</vt:lpwstr>
      </vt:variant>
      <vt:variant>
        <vt:lpwstr/>
      </vt:variant>
      <vt:variant>
        <vt:i4>1441876</vt:i4>
      </vt:variant>
      <vt:variant>
        <vt:i4>1758</vt:i4>
      </vt:variant>
      <vt:variant>
        <vt:i4>0</vt:i4>
      </vt:variant>
      <vt:variant>
        <vt:i4>5</vt:i4>
      </vt:variant>
      <vt:variant>
        <vt:lpwstr>https://www.nice.org.uk/</vt:lpwstr>
      </vt:variant>
      <vt:variant>
        <vt:lpwstr/>
      </vt:variant>
      <vt:variant>
        <vt:i4>524304</vt:i4>
      </vt:variant>
      <vt:variant>
        <vt:i4>1579</vt:i4>
      </vt:variant>
      <vt:variant>
        <vt:i4>0</vt:i4>
      </vt:variant>
      <vt:variant>
        <vt:i4>5</vt:i4>
      </vt:variant>
      <vt:variant>
        <vt:lpwstr>https://icer.org/</vt:lpwstr>
      </vt:variant>
      <vt:variant>
        <vt:lpwstr/>
      </vt:variant>
      <vt:variant>
        <vt:i4>7798796</vt:i4>
      </vt:variant>
      <vt:variant>
        <vt:i4>3</vt:i4>
      </vt:variant>
      <vt:variant>
        <vt:i4>0</vt:i4>
      </vt:variant>
      <vt:variant>
        <vt:i4>5</vt:i4>
      </vt:variant>
      <vt:variant>
        <vt:lpwstr>mailto:copyright@health.gov.au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7143516</vt:i4>
      </vt:variant>
      <vt:variant>
        <vt:i4>6</vt:i4>
      </vt:variant>
      <vt:variant>
        <vt:i4>0</vt:i4>
      </vt:variant>
      <vt:variant>
        <vt:i4>5</vt:i4>
      </vt:variant>
      <vt:variant>
        <vt:lpwstr>https://www.aph.gov.au/Parliamentary_Business/Committees/House/Health_Aged_Care_and_Sport/Newdrugs/Report</vt:lpwstr>
      </vt:variant>
      <vt:variant>
        <vt:lpwstr/>
      </vt:variant>
      <vt:variant>
        <vt:i4>2752530</vt:i4>
      </vt:variant>
      <vt:variant>
        <vt:i4>3</vt:i4>
      </vt:variant>
      <vt:variant>
        <vt:i4>0</vt:i4>
      </vt:variant>
      <vt:variant>
        <vt:i4>5</vt:i4>
      </vt:variant>
      <vt:variant>
        <vt:lpwstr>https://www.legifrance.gouv.fr/download/pdf?id=YfGYL2kkDMS2OWSxGbVjZVIsrsa00QFujiQScSI_fAU</vt:lpwstr>
      </vt:variant>
      <vt:variant>
        <vt:lpwstr/>
      </vt:variant>
      <vt:variant>
        <vt:i4>6422597</vt:i4>
      </vt:variant>
      <vt:variant>
        <vt:i4>0</vt:i4>
      </vt:variant>
      <vt:variant>
        <vt:i4>0</vt:i4>
      </vt:variant>
      <vt:variant>
        <vt:i4>5</vt:i4>
      </vt:variant>
      <vt:variant>
        <vt:lpwstr>https://ohta-consultations.health.gov.au/ohta/review-of-discount-rate-in-the-pbac-guidelines-pha/supporting_documents/Review of the Discount Rate  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docId:9FEDD1969B15B6A441EDEC66AEEFFBE5</cp:keywords>
  <cp:lastModifiedBy/>
  <cp:revision>1</cp:revision>
  <dcterms:created xsi:type="dcterms:W3CDTF">2024-07-16T07:44:00Z</dcterms:created>
  <dcterms:modified xsi:type="dcterms:W3CDTF">2024-07-16T08:07:00Z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0x010100FEE71144B0A72D48BAD5085EFC329F68</vt:lpwstr>
  </property>
</Properties>
</file>